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7A46" w14:textId="55564DC6" w:rsidR="000C5659" w:rsidRDefault="000C5659" w:rsidP="00F1765F">
      <w:pPr>
        <w:pStyle w:val="NoSpacing"/>
        <w:jc w:val="center"/>
      </w:pPr>
      <w:r>
        <w:t>ASCC Social and Behavioral Sciences Panel</w:t>
      </w:r>
    </w:p>
    <w:p w14:paraId="47F2B45C" w14:textId="3FDBC01B" w:rsidR="000C5659" w:rsidRDefault="00CC6618" w:rsidP="000C5659">
      <w:pPr>
        <w:jc w:val="center"/>
      </w:pPr>
      <w:r>
        <w:t>A</w:t>
      </w:r>
      <w:r w:rsidR="00D727F7">
        <w:t xml:space="preserve">pproved </w:t>
      </w:r>
      <w:r w:rsidR="000C5659">
        <w:t>Minutes</w:t>
      </w:r>
    </w:p>
    <w:p w14:paraId="44FDFA99" w14:textId="7FA00203" w:rsidR="000C5659" w:rsidRDefault="00EB7C53" w:rsidP="000C5659">
      <w:r>
        <w:t>T</w:t>
      </w:r>
      <w:r w:rsidR="00B41DF6">
        <w:t>hursday, September 15</w:t>
      </w:r>
      <w:r w:rsidR="00296C2C" w:rsidRPr="00296C2C">
        <w:rPr>
          <w:vertAlign w:val="superscript"/>
        </w:rPr>
        <w:t>th</w:t>
      </w:r>
      <w:r w:rsidR="000C5659">
        <w:t>, 202</w:t>
      </w:r>
      <w:r w:rsidR="000F024C">
        <w:t>2</w:t>
      </w:r>
      <w:r w:rsidR="000C5659">
        <w:tab/>
      </w:r>
      <w:r w:rsidR="000C5659">
        <w:tab/>
      </w:r>
      <w:r w:rsidR="000C5659">
        <w:tab/>
      </w:r>
      <w:r w:rsidR="000C5659">
        <w:tab/>
      </w:r>
      <w:r w:rsidR="000C5659">
        <w:tab/>
      </w:r>
      <w:r w:rsidR="000C5659">
        <w:tab/>
      </w:r>
      <w:r w:rsidR="000C5659">
        <w:tab/>
        <w:t xml:space="preserve">      </w:t>
      </w:r>
      <w:r w:rsidR="00B41DF6">
        <w:t>2</w:t>
      </w:r>
      <w:r w:rsidR="000F024C">
        <w:t>:00 PM</w:t>
      </w:r>
      <w:r w:rsidR="000C5659">
        <w:t xml:space="preserve"> – </w:t>
      </w:r>
      <w:r w:rsidR="00B41DF6">
        <w:t>3</w:t>
      </w:r>
      <w:r w:rsidR="000F024C">
        <w:t xml:space="preserve">:30 </w:t>
      </w:r>
      <w:r w:rsidR="000C5659">
        <w:t>PM</w:t>
      </w:r>
    </w:p>
    <w:p w14:paraId="7A25CFF4" w14:textId="65B6D3FE" w:rsidR="000C5659" w:rsidRDefault="000C5659" w:rsidP="000C5659">
      <w:r>
        <w:t>CarmenZoom</w:t>
      </w:r>
    </w:p>
    <w:p w14:paraId="17A7C5A5" w14:textId="1267AF64" w:rsidR="000C5659" w:rsidRDefault="000C5659" w:rsidP="000C5659">
      <w:r>
        <w:rPr>
          <w:b/>
          <w:bCs/>
        </w:rPr>
        <w:t>Attendees</w:t>
      </w:r>
      <w:r>
        <w:t>:</w:t>
      </w:r>
      <w:r w:rsidR="003420E0">
        <w:t xml:space="preserve"> Dwyer, </w:t>
      </w:r>
      <w:r w:rsidR="005A7268">
        <w:t xml:space="preserve">Hilty, </w:t>
      </w:r>
      <w:r w:rsidR="00556C6A">
        <w:t xml:space="preserve">Hooker, Nathanson, Piperata, </w:t>
      </w:r>
      <w:r w:rsidR="003420E0">
        <w:t xml:space="preserve">Roup, </w:t>
      </w:r>
      <w:r w:rsidR="0051470C">
        <w:t xml:space="preserve">Steele, </w:t>
      </w:r>
      <w:r w:rsidR="005A7268">
        <w:t xml:space="preserve">Valle, </w:t>
      </w:r>
      <w:r w:rsidR="0051470C">
        <w:t>Vankeerbergen</w:t>
      </w:r>
    </w:p>
    <w:p w14:paraId="3E98490D" w14:textId="3A0F3831" w:rsidR="000C5659" w:rsidRPr="0050178F" w:rsidRDefault="00EB7C53" w:rsidP="0050178F">
      <w:pPr>
        <w:rPr>
          <w:b/>
          <w:bCs/>
        </w:rPr>
      </w:pPr>
      <w:r w:rsidRPr="0050178F">
        <w:rPr>
          <w:b/>
          <w:bCs/>
        </w:rPr>
        <w:t>Agenda:</w:t>
      </w:r>
    </w:p>
    <w:p w14:paraId="3CEF895B" w14:textId="2EC04295" w:rsidR="00B41DF6" w:rsidRDefault="00B41DF6" w:rsidP="00B41DF6">
      <w:pPr>
        <w:numPr>
          <w:ilvl w:val="0"/>
          <w:numId w:val="30"/>
        </w:numPr>
        <w:spacing w:after="0" w:line="240" w:lineRule="auto"/>
        <w:rPr>
          <w:rFonts w:ascii="Calibri" w:eastAsia="Times New Roman" w:hAnsi="Calibri" w:cs="Calibri"/>
        </w:rPr>
      </w:pPr>
      <w:r w:rsidRPr="00B41DF6">
        <w:rPr>
          <w:rFonts w:ascii="Calibri" w:eastAsia="Times New Roman" w:hAnsi="Calibri" w:cs="Calibri"/>
        </w:rPr>
        <w:t>Approval of 9-1-22 minutes</w:t>
      </w:r>
    </w:p>
    <w:p w14:paraId="20C70AE6" w14:textId="43594F1F" w:rsidR="00CA13BB" w:rsidRPr="00B41DF6" w:rsidRDefault="00CA13BB" w:rsidP="00CA13BB">
      <w:pPr>
        <w:numPr>
          <w:ilvl w:val="1"/>
          <w:numId w:val="30"/>
        </w:numPr>
        <w:spacing w:after="0" w:line="240" w:lineRule="auto"/>
        <w:rPr>
          <w:rFonts w:ascii="Calibri" w:eastAsia="Times New Roman" w:hAnsi="Calibri" w:cs="Calibri"/>
        </w:rPr>
      </w:pPr>
      <w:r>
        <w:rPr>
          <w:rFonts w:ascii="Calibri" w:eastAsia="Times New Roman" w:hAnsi="Calibri" w:cs="Calibri"/>
        </w:rPr>
        <w:t xml:space="preserve">Hooker, Piperata; unanimously approved </w:t>
      </w:r>
    </w:p>
    <w:p w14:paraId="4C75487E" w14:textId="543D39E4" w:rsidR="00B41DF6" w:rsidRDefault="00B41DF6" w:rsidP="00B41DF6">
      <w:pPr>
        <w:numPr>
          <w:ilvl w:val="0"/>
          <w:numId w:val="30"/>
        </w:numPr>
        <w:spacing w:after="0" w:line="240" w:lineRule="auto"/>
        <w:rPr>
          <w:rFonts w:ascii="Calibri" w:eastAsia="Times New Roman" w:hAnsi="Calibri" w:cs="Calibri"/>
        </w:rPr>
      </w:pPr>
      <w:r w:rsidRPr="00B41DF6">
        <w:rPr>
          <w:rFonts w:ascii="Calibri" w:eastAsia="Times New Roman" w:hAnsi="Calibri" w:cs="Calibri"/>
        </w:rPr>
        <w:t>Revision to the International Studies BA</w:t>
      </w:r>
    </w:p>
    <w:p w14:paraId="170C186A" w14:textId="15775A90" w:rsidR="001D2771" w:rsidRDefault="001D2771" w:rsidP="001D2771">
      <w:pPr>
        <w:numPr>
          <w:ilvl w:val="1"/>
          <w:numId w:val="30"/>
        </w:numPr>
        <w:spacing w:after="0" w:line="240" w:lineRule="auto"/>
        <w:rPr>
          <w:rFonts w:ascii="Calibri" w:eastAsia="Times New Roman" w:hAnsi="Calibri" w:cs="Calibri"/>
        </w:rPr>
      </w:pPr>
      <w:r w:rsidRPr="00522E1D">
        <w:rPr>
          <w:rFonts w:ascii="Calibri" w:eastAsia="Times New Roman" w:hAnsi="Calibri" w:cs="Calibri"/>
          <w:b/>
          <w:bCs/>
        </w:rPr>
        <w:t>Contingency</w:t>
      </w:r>
      <w:r>
        <w:rPr>
          <w:rFonts w:ascii="Calibri" w:eastAsia="Times New Roman" w:hAnsi="Calibri" w:cs="Calibri"/>
        </w:rPr>
        <w:t xml:space="preserve">: The Panel asks that the unit provide further explanation regarding the rationale for the changes to the major.  </w:t>
      </w:r>
      <w:r w:rsidR="00BD0388">
        <w:rPr>
          <w:rFonts w:ascii="Calibri" w:eastAsia="Times New Roman" w:hAnsi="Calibri" w:cs="Calibri"/>
        </w:rPr>
        <w:t>Specifically, t</w:t>
      </w:r>
      <w:r>
        <w:rPr>
          <w:rFonts w:ascii="Calibri" w:eastAsia="Times New Roman" w:hAnsi="Calibri" w:cs="Calibri"/>
        </w:rPr>
        <w:t xml:space="preserve">he Panel understands that the unit is responding to an external review that recommended a revitalization of the geographic area studies, but they are unclear as to how the proposed structure </w:t>
      </w:r>
      <w:r w:rsidR="00246A02">
        <w:rPr>
          <w:rFonts w:ascii="Calibri" w:eastAsia="Times New Roman" w:hAnsi="Calibri" w:cs="Calibri"/>
        </w:rPr>
        <w:t xml:space="preserve">will </w:t>
      </w:r>
      <w:r>
        <w:rPr>
          <w:rFonts w:ascii="Calibri" w:eastAsia="Times New Roman" w:hAnsi="Calibri" w:cs="Calibri"/>
        </w:rPr>
        <w:t xml:space="preserve">accomplish this when students are not required to choose </w:t>
      </w:r>
      <w:r w:rsidR="007F2ABB">
        <w:rPr>
          <w:rFonts w:ascii="Calibri" w:eastAsia="Times New Roman" w:hAnsi="Calibri" w:cs="Calibri"/>
        </w:rPr>
        <w:t>both a</w:t>
      </w:r>
      <w:r>
        <w:rPr>
          <w:rFonts w:ascii="Calibri" w:eastAsia="Times New Roman" w:hAnsi="Calibri" w:cs="Calibri"/>
        </w:rPr>
        <w:t xml:space="preserve"> geographic area and a thematic track.  They note the reference to the International Studies major at Stanford University and the resulting choices by student</w:t>
      </w:r>
      <w:r w:rsidR="00246A02">
        <w:rPr>
          <w:rFonts w:ascii="Calibri" w:eastAsia="Times New Roman" w:hAnsi="Calibri" w:cs="Calibri"/>
        </w:rPr>
        <w:t>s</w:t>
      </w:r>
      <w:r>
        <w:rPr>
          <w:rFonts w:ascii="Calibri" w:eastAsia="Times New Roman" w:hAnsi="Calibri" w:cs="Calibri"/>
        </w:rPr>
        <w:t xml:space="preserve"> in th</w:t>
      </w:r>
      <w:r w:rsidR="00246A02">
        <w:rPr>
          <w:rFonts w:ascii="Calibri" w:eastAsia="Times New Roman" w:hAnsi="Calibri" w:cs="Calibri"/>
        </w:rPr>
        <w:t xml:space="preserve">at </w:t>
      </w:r>
      <w:r>
        <w:rPr>
          <w:rFonts w:ascii="Calibri" w:eastAsia="Times New Roman" w:hAnsi="Calibri" w:cs="Calibri"/>
        </w:rPr>
        <w:t>program (</w:t>
      </w:r>
      <w:r w:rsidR="00246A02">
        <w:rPr>
          <w:rFonts w:ascii="Calibri" w:eastAsia="Times New Roman" w:hAnsi="Calibri" w:cs="Calibri"/>
        </w:rPr>
        <w:t xml:space="preserve">footnote 3, </w:t>
      </w:r>
      <w:r>
        <w:rPr>
          <w:rFonts w:ascii="Calibri" w:eastAsia="Times New Roman" w:hAnsi="Calibri" w:cs="Calibri"/>
        </w:rPr>
        <w:t xml:space="preserve">pg. 2), but ask that additional data or evidence be included </w:t>
      </w:r>
      <w:r w:rsidR="00246A02">
        <w:rPr>
          <w:rFonts w:ascii="Calibri" w:eastAsia="Times New Roman" w:hAnsi="Calibri" w:cs="Calibri"/>
        </w:rPr>
        <w:t xml:space="preserve">in </w:t>
      </w:r>
      <w:r>
        <w:rPr>
          <w:rFonts w:ascii="Calibri" w:eastAsia="Times New Roman" w:hAnsi="Calibri" w:cs="Calibri"/>
        </w:rPr>
        <w:t>support</w:t>
      </w:r>
      <w:r w:rsidR="00246A02">
        <w:rPr>
          <w:rFonts w:ascii="Calibri" w:eastAsia="Times New Roman" w:hAnsi="Calibri" w:cs="Calibri"/>
        </w:rPr>
        <w:t xml:space="preserve"> of</w:t>
      </w:r>
      <w:r>
        <w:rPr>
          <w:rFonts w:ascii="Calibri" w:eastAsia="Times New Roman" w:hAnsi="Calibri" w:cs="Calibri"/>
        </w:rPr>
        <w:t xml:space="preserve"> the proposed </w:t>
      </w:r>
      <w:r w:rsidR="00246A02">
        <w:rPr>
          <w:rFonts w:ascii="Calibri" w:eastAsia="Times New Roman" w:hAnsi="Calibri" w:cs="Calibri"/>
        </w:rPr>
        <w:t>structure.</w:t>
      </w:r>
    </w:p>
    <w:p w14:paraId="38AE0B1E" w14:textId="26D50A7C" w:rsidR="001D2771" w:rsidRPr="001D2771" w:rsidRDefault="001D2771" w:rsidP="001D2771">
      <w:pPr>
        <w:numPr>
          <w:ilvl w:val="1"/>
          <w:numId w:val="30"/>
        </w:numPr>
        <w:spacing w:after="0" w:line="240" w:lineRule="auto"/>
        <w:rPr>
          <w:rFonts w:ascii="Calibri" w:eastAsia="Times New Roman" w:hAnsi="Calibri" w:cs="Calibri"/>
        </w:rPr>
      </w:pPr>
      <w:r w:rsidRPr="0050613C">
        <w:rPr>
          <w:rFonts w:ascii="Calibri" w:eastAsia="Times New Roman" w:hAnsi="Calibri" w:cs="Calibri"/>
          <w:b/>
          <w:bCs/>
        </w:rPr>
        <w:t>Contingency</w:t>
      </w:r>
      <w:r>
        <w:rPr>
          <w:rFonts w:ascii="Calibri" w:eastAsia="Times New Roman" w:hAnsi="Calibri" w:cs="Calibri"/>
        </w:rPr>
        <w:t>:  The Panel appreciates the detailed description of how the new major will be assessed, but they ask that the unit add to the proposal an explanation of how the assessment metrics will be utilized to improve student outcomes.</w:t>
      </w:r>
    </w:p>
    <w:p w14:paraId="0A8616B9" w14:textId="42790537" w:rsidR="004E2E6A" w:rsidRPr="004E2E6A" w:rsidRDefault="00C23FF9" w:rsidP="004E2E6A">
      <w:pPr>
        <w:numPr>
          <w:ilvl w:val="1"/>
          <w:numId w:val="30"/>
        </w:numPr>
        <w:spacing w:after="0" w:line="240" w:lineRule="auto"/>
        <w:rPr>
          <w:rFonts w:ascii="Calibri" w:eastAsia="Times New Roman" w:hAnsi="Calibri" w:cs="Calibri"/>
        </w:rPr>
      </w:pPr>
      <w:r w:rsidRPr="00D47210">
        <w:rPr>
          <w:rFonts w:ascii="Calibri" w:eastAsia="Times New Roman" w:hAnsi="Calibri" w:cs="Calibri"/>
          <w:b/>
          <w:bCs/>
        </w:rPr>
        <w:t>Contingency</w:t>
      </w:r>
      <w:r>
        <w:rPr>
          <w:rFonts w:ascii="Calibri" w:eastAsia="Times New Roman" w:hAnsi="Calibri" w:cs="Calibri"/>
        </w:rPr>
        <w:t xml:space="preserve">:  </w:t>
      </w:r>
      <w:r w:rsidR="00A1784F">
        <w:rPr>
          <w:rFonts w:ascii="Calibri" w:eastAsia="Times New Roman" w:hAnsi="Calibri" w:cs="Calibri"/>
        </w:rPr>
        <w:t>The Panel notes that the current version of the major requires two pre-requisites</w:t>
      </w:r>
      <w:r w:rsidR="009B3A6D">
        <w:rPr>
          <w:rFonts w:ascii="Calibri" w:eastAsia="Times New Roman" w:hAnsi="Calibri" w:cs="Calibri"/>
        </w:rPr>
        <w:t xml:space="preserve"> beyond the world language requirement</w:t>
      </w:r>
      <w:r w:rsidR="00A1784F">
        <w:rPr>
          <w:rFonts w:ascii="Calibri" w:eastAsia="Times New Roman" w:hAnsi="Calibri" w:cs="Calibri"/>
        </w:rPr>
        <w:t xml:space="preserve"> for each </w:t>
      </w:r>
      <w:r w:rsidR="007054D5">
        <w:rPr>
          <w:rFonts w:ascii="Calibri" w:eastAsia="Times New Roman" w:hAnsi="Calibri" w:cs="Calibri"/>
        </w:rPr>
        <w:t xml:space="preserve">specialization </w:t>
      </w:r>
      <w:r w:rsidR="004A5CAF">
        <w:rPr>
          <w:rFonts w:ascii="Calibri" w:eastAsia="Times New Roman" w:hAnsi="Calibri" w:cs="Calibri"/>
        </w:rPr>
        <w:t>(</w:t>
      </w:r>
      <w:r w:rsidR="009B3A6D">
        <w:rPr>
          <w:rFonts w:ascii="Calibri" w:eastAsia="Times New Roman" w:hAnsi="Calibri" w:cs="Calibri"/>
        </w:rPr>
        <w:t>footnote 1, pg. 1</w:t>
      </w:r>
      <w:r w:rsidR="004A5CAF">
        <w:rPr>
          <w:rFonts w:ascii="Calibri" w:eastAsia="Times New Roman" w:hAnsi="Calibri" w:cs="Calibri"/>
        </w:rPr>
        <w:t>)</w:t>
      </w:r>
      <w:r w:rsidR="009B3A6D">
        <w:rPr>
          <w:rFonts w:ascii="Calibri" w:eastAsia="Times New Roman" w:hAnsi="Calibri" w:cs="Calibri"/>
        </w:rPr>
        <w:t>,</w:t>
      </w:r>
      <w:r w:rsidR="004A5CAF">
        <w:rPr>
          <w:rFonts w:ascii="Calibri" w:eastAsia="Times New Roman" w:hAnsi="Calibri" w:cs="Calibri"/>
        </w:rPr>
        <w:t xml:space="preserve"> </w:t>
      </w:r>
      <w:r w:rsidR="007054D5">
        <w:rPr>
          <w:rFonts w:ascii="Calibri" w:eastAsia="Times New Roman" w:hAnsi="Calibri" w:cs="Calibri"/>
        </w:rPr>
        <w:t>and</w:t>
      </w:r>
      <w:r w:rsidR="00A1784F">
        <w:rPr>
          <w:rFonts w:ascii="Calibri" w:eastAsia="Times New Roman" w:hAnsi="Calibri" w:cs="Calibri"/>
        </w:rPr>
        <w:t xml:space="preserve"> asks that the </w:t>
      </w:r>
      <w:r w:rsidR="00D47210">
        <w:rPr>
          <w:rFonts w:ascii="Calibri" w:eastAsia="Times New Roman" w:hAnsi="Calibri" w:cs="Calibri"/>
        </w:rPr>
        <w:t>uni</w:t>
      </w:r>
      <w:r w:rsidR="00A1784F">
        <w:rPr>
          <w:rFonts w:ascii="Calibri" w:eastAsia="Times New Roman" w:hAnsi="Calibri" w:cs="Calibri"/>
        </w:rPr>
        <w:t xml:space="preserve">t add </w:t>
      </w:r>
      <w:r w:rsidR="009B3A6D">
        <w:rPr>
          <w:rFonts w:ascii="Calibri" w:eastAsia="Times New Roman" w:hAnsi="Calibri" w:cs="Calibri"/>
        </w:rPr>
        <w:t xml:space="preserve">to the proposal </w:t>
      </w:r>
      <w:r w:rsidR="00A1784F">
        <w:rPr>
          <w:rFonts w:ascii="Calibri" w:eastAsia="Times New Roman" w:hAnsi="Calibri" w:cs="Calibri"/>
        </w:rPr>
        <w:t>an explanation of why these pre-requisite requirements have been removed f</w:t>
      </w:r>
      <w:r w:rsidR="009B3A6D">
        <w:rPr>
          <w:rFonts w:ascii="Calibri" w:eastAsia="Times New Roman" w:hAnsi="Calibri" w:cs="Calibri"/>
        </w:rPr>
        <w:t>rom the</w:t>
      </w:r>
      <w:r w:rsidR="00A1784F">
        <w:rPr>
          <w:rFonts w:ascii="Calibri" w:eastAsia="Times New Roman" w:hAnsi="Calibri" w:cs="Calibri"/>
        </w:rPr>
        <w:t xml:space="preserve"> </w:t>
      </w:r>
      <w:r w:rsidR="009B3A6D">
        <w:rPr>
          <w:rFonts w:ascii="Calibri" w:eastAsia="Times New Roman" w:hAnsi="Calibri" w:cs="Calibri"/>
        </w:rPr>
        <w:t>proposed</w:t>
      </w:r>
      <w:r w:rsidR="00A1784F">
        <w:rPr>
          <w:rFonts w:ascii="Calibri" w:eastAsia="Times New Roman" w:hAnsi="Calibri" w:cs="Calibri"/>
        </w:rPr>
        <w:t xml:space="preserve"> version of the major.</w:t>
      </w:r>
    </w:p>
    <w:p w14:paraId="69CABDD7" w14:textId="47C07E1C" w:rsidR="004E2E6A" w:rsidRDefault="003D4672" w:rsidP="004E2E6A">
      <w:pPr>
        <w:numPr>
          <w:ilvl w:val="1"/>
          <w:numId w:val="30"/>
        </w:numPr>
        <w:spacing w:after="0" w:line="240" w:lineRule="auto"/>
        <w:rPr>
          <w:rFonts w:ascii="Calibri" w:eastAsia="Times New Roman" w:hAnsi="Calibri" w:cs="Calibri"/>
        </w:rPr>
      </w:pPr>
      <w:r w:rsidRPr="006C2A9B">
        <w:rPr>
          <w:rFonts w:ascii="Calibri" w:eastAsia="Times New Roman" w:hAnsi="Calibri" w:cs="Calibri"/>
          <w:b/>
          <w:bCs/>
        </w:rPr>
        <w:t>Contingency</w:t>
      </w:r>
      <w:r>
        <w:rPr>
          <w:rFonts w:ascii="Calibri" w:eastAsia="Times New Roman" w:hAnsi="Calibri" w:cs="Calibri"/>
        </w:rPr>
        <w:t>:</w:t>
      </w:r>
      <w:r w:rsidR="00640AC5">
        <w:rPr>
          <w:rFonts w:ascii="Calibri" w:eastAsia="Times New Roman" w:hAnsi="Calibri" w:cs="Calibri"/>
        </w:rPr>
        <w:t xml:space="preserve">  The Panel asks that the </w:t>
      </w:r>
      <w:r w:rsidR="008973AC">
        <w:rPr>
          <w:rFonts w:ascii="Calibri" w:eastAsia="Times New Roman" w:hAnsi="Calibri" w:cs="Calibri"/>
        </w:rPr>
        <w:t>uni</w:t>
      </w:r>
      <w:r w:rsidR="00640AC5">
        <w:rPr>
          <w:rFonts w:ascii="Calibri" w:eastAsia="Times New Roman" w:hAnsi="Calibri" w:cs="Calibri"/>
        </w:rPr>
        <w:t xml:space="preserve">t </w:t>
      </w:r>
      <w:r w:rsidR="0050613C">
        <w:rPr>
          <w:rFonts w:ascii="Calibri" w:eastAsia="Times New Roman" w:hAnsi="Calibri" w:cs="Calibri"/>
        </w:rPr>
        <w:t xml:space="preserve">use the terminology “co-requisite” or “major supporting requirement” rather than “pre-requisite” to describe the world language requirement, as the term “pre-requisite” implies that students must complete that requirement prior to </w:t>
      </w:r>
      <w:r w:rsidR="006C2A9B">
        <w:rPr>
          <w:rFonts w:ascii="Calibri" w:eastAsia="Times New Roman" w:hAnsi="Calibri" w:cs="Calibri"/>
        </w:rPr>
        <w:t>beginning their major coursework and could cause confusion for students.</w:t>
      </w:r>
      <w:r w:rsidR="004E2E6A">
        <w:rPr>
          <w:rFonts w:ascii="Calibri" w:eastAsia="Times New Roman" w:hAnsi="Calibri" w:cs="Calibri"/>
        </w:rPr>
        <w:t xml:space="preserve"> </w:t>
      </w:r>
    </w:p>
    <w:p w14:paraId="0510FF83" w14:textId="2A39B89A" w:rsidR="00C340BF" w:rsidRDefault="003D4672" w:rsidP="004E2E6A">
      <w:pPr>
        <w:numPr>
          <w:ilvl w:val="1"/>
          <w:numId w:val="30"/>
        </w:numPr>
        <w:spacing w:after="0" w:line="240" w:lineRule="auto"/>
        <w:rPr>
          <w:rFonts w:ascii="Calibri" w:eastAsia="Times New Roman" w:hAnsi="Calibri" w:cs="Calibri"/>
        </w:rPr>
      </w:pPr>
      <w:r w:rsidRPr="002B36C7">
        <w:rPr>
          <w:rFonts w:ascii="Calibri" w:eastAsia="Times New Roman" w:hAnsi="Calibri" w:cs="Calibri"/>
          <w:b/>
          <w:bCs/>
        </w:rPr>
        <w:t>Contingency</w:t>
      </w:r>
      <w:r>
        <w:rPr>
          <w:rFonts w:ascii="Calibri" w:eastAsia="Times New Roman" w:hAnsi="Calibri" w:cs="Calibri"/>
        </w:rPr>
        <w:t xml:space="preserve">: </w:t>
      </w:r>
      <w:r w:rsidR="006C2A9B">
        <w:rPr>
          <w:rFonts w:ascii="Calibri" w:eastAsia="Times New Roman" w:hAnsi="Calibri" w:cs="Calibri"/>
        </w:rPr>
        <w:t xml:space="preserve">The Panel asks that the </w:t>
      </w:r>
      <w:r w:rsidR="00246A02">
        <w:rPr>
          <w:rFonts w:ascii="Calibri" w:eastAsia="Times New Roman" w:hAnsi="Calibri" w:cs="Calibri"/>
        </w:rPr>
        <w:t>unit</w:t>
      </w:r>
      <w:r w:rsidR="006C2A9B">
        <w:rPr>
          <w:rFonts w:ascii="Calibri" w:eastAsia="Times New Roman" w:hAnsi="Calibri" w:cs="Calibri"/>
        </w:rPr>
        <w:t xml:space="preserve"> replace the term “foreign language” with “world language”, so as to align with the terminology used in the new General Education and college requirements, </w:t>
      </w:r>
      <w:r w:rsidR="002B36C7">
        <w:rPr>
          <w:rFonts w:ascii="Calibri" w:eastAsia="Times New Roman" w:hAnsi="Calibri" w:cs="Calibri"/>
        </w:rPr>
        <w:t>as well as the terminology used by the Center for Languages, Literatures and Cultures.</w:t>
      </w:r>
    </w:p>
    <w:p w14:paraId="272EADFC" w14:textId="414C4BE6" w:rsidR="00361930" w:rsidRDefault="002A4757" w:rsidP="004E2E6A">
      <w:pPr>
        <w:numPr>
          <w:ilvl w:val="1"/>
          <w:numId w:val="30"/>
        </w:numPr>
        <w:spacing w:after="0" w:line="240" w:lineRule="auto"/>
        <w:rPr>
          <w:rFonts w:ascii="Calibri" w:eastAsia="Times New Roman" w:hAnsi="Calibri" w:cs="Calibri"/>
        </w:rPr>
      </w:pPr>
      <w:r w:rsidRPr="00E02CEC">
        <w:rPr>
          <w:rFonts w:ascii="Calibri" w:eastAsia="Times New Roman" w:hAnsi="Calibri" w:cs="Calibri"/>
          <w:b/>
          <w:bCs/>
        </w:rPr>
        <w:t>Contingency</w:t>
      </w:r>
      <w:r w:rsidR="003D4672">
        <w:rPr>
          <w:rFonts w:ascii="Calibri" w:eastAsia="Times New Roman" w:hAnsi="Calibri" w:cs="Calibri"/>
        </w:rPr>
        <w:t xml:space="preserve">: </w:t>
      </w:r>
      <w:r>
        <w:rPr>
          <w:rFonts w:ascii="Calibri" w:eastAsia="Times New Roman" w:hAnsi="Calibri" w:cs="Calibri"/>
        </w:rPr>
        <w:t xml:space="preserve">The Panel requests that the </w:t>
      </w:r>
      <w:r w:rsidR="00246A02">
        <w:rPr>
          <w:rFonts w:ascii="Calibri" w:eastAsia="Times New Roman" w:hAnsi="Calibri" w:cs="Calibri"/>
        </w:rPr>
        <w:t>unit</w:t>
      </w:r>
      <w:r>
        <w:rPr>
          <w:rFonts w:ascii="Calibri" w:eastAsia="Times New Roman" w:hAnsi="Calibri" w:cs="Calibri"/>
        </w:rPr>
        <w:t xml:space="preserve"> </w:t>
      </w:r>
      <w:r w:rsidR="00772A40">
        <w:rPr>
          <w:rFonts w:ascii="Calibri" w:eastAsia="Times New Roman" w:hAnsi="Calibri" w:cs="Calibri"/>
        </w:rPr>
        <w:t xml:space="preserve">amend the statement on </w:t>
      </w:r>
      <w:r w:rsidR="00361930">
        <w:rPr>
          <w:rFonts w:ascii="Calibri" w:eastAsia="Times New Roman" w:hAnsi="Calibri" w:cs="Calibri"/>
        </w:rPr>
        <w:t xml:space="preserve">Pg. 10 </w:t>
      </w:r>
      <w:r w:rsidR="00772A40">
        <w:rPr>
          <w:rFonts w:ascii="Calibri" w:eastAsia="Times New Roman" w:hAnsi="Calibri" w:cs="Calibri"/>
        </w:rPr>
        <w:t xml:space="preserve">regarding the use of major courses in the GE.  Under the new General Education, students may cross one course from each of their Themes </w:t>
      </w:r>
      <w:r w:rsidR="00E02CEC">
        <w:rPr>
          <w:rFonts w:ascii="Calibri" w:eastAsia="Times New Roman" w:hAnsi="Calibri" w:cs="Calibri"/>
        </w:rPr>
        <w:t>(up to two</w:t>
      </w:r>
      <w:r w:rsidR="009B3A6D">
        <w:rPr>
          <w:rFonts w:ascii="Calibri" w:eastAsia="Times New Roman" w:hAnsi="Calibri" w:cs="Calibri"/>
        </w:rPr>
        <w:t xml:space="preserve"> Themes</w:t>
      </w:r>
      <w:r w:rsidR="00E02CEC">
        <w:rPr>
          <w:rFonts w:ascii="Calibri" w:eastAsia="Times New Roman" w:hAnsi="Calibri" w:cs="Calibri"/>
        </w:rPr>
        <w:t xml:space="preserve"> courses total) with their major requirements.  </w:t>
      </w:r>
    </w:p>
    <w:p w14:paraId="1EA7A38A" w14:textId="703BBE42" w:rsidR="001D2771" w:rsidRDefault="001D2771" w:rsidP="001D2771">
      <w:pPr>
        <w:numPr>
          <w:ilvl w:val="1"/>
          <w:numId w:val="30"/>
        </w:numPr>
        <w:spacing w:after="0" w:line="240" w:lineRule="auto"/>
        <w:rPr>
          <w:rFonts w:ascii="Calibri" w:eastAsia="Times New Roman" w:hAnsi="Calibri" w:cs="Calibri"/>
        </w:rPr>
      </w:pPr>
      <w:r w:rsidRPr="001D2771">
        <w:rPr>
          <w:rFonts w:ascii="Calibri" w:eastAsia="Times New Roman" w:hAnsi="Calibri" w:cs="Calibri"/>
          <w:b/>
          <w:bCs/>
        </w:rPr>
        <w:t>Contingency</w:t>
      </w:r>
      <w:r>
        <w:rPr>
          <w:rFonts w:ascii="Calibri" w:eastAsia="Times New Roman" w:hAnsi="Calibri" w:cs="Calibri"/>
        </w:rPr>
        <w:t>: The Panel asks that the unit include in the proposal information about the changes to the Embedded Literacy courses in the major.  (The</w:t>
      </w:r>
      <w:r w:rsidR="009B3A6D">
        <w:rPr>
          <w:rFonts w:ascii="Calibri" w:eastAsia="Times New Roman" w:hAnsi="Calibri" w:cs="Calibri"/>
        </w:rPr>
        <w:t xml:space="preserve"> initial</w:t>
      </w:r>
      <w:r>
        <w:rPr>
          <w:rFonts w:ascii="Calibri" w:eastAsia="Times New Roman" w:hAnsi="Calibri" w:cs="Calibri"/>
        </w:rPr>
        <w:t xml:space="preserve"> Embedded Literacies for the International Studies majors were approved by CAA on April 20</w:t>
      </w:r>
      <w:r w:rsidRPr="00C1413C">
        <w:rPr>
          <w:rFonts w:ascii="Calibri" w:eastAsia="Times New Roman" w:hAnsi="Calibri" w:cs="Calibri"/>
          <w:vertAlign w:val="superscript"/>
        </w:rPr>
        <w:t>th</w:t>
      </w:r>
      <w:r>
        <w:rPr>
          <w:rFonts w:ascii="Calibri" w:eastAsia="Times New Roman" w:hAnsi="Calibri" w:cs="Calibri"/>
        </w:rPr>
        <w:t xml:space="preserve">, 2022 and can be found here: </w:t>
      </w:r>
      <w:hyperlink r:id="rId9" w:history="1">
        <w:r w:rsidRPr="00DE0B82">
          <w:rPr>
            <w:rStyle w:val="Hyperlink"/>
            <w:rFonts w:ascii="Calibri" w:eastAsia="Times New Roman" w:hAnsi="Calibri" w:cs="Calibri"/>
          </w:rPr>
          <w:t>https://oaa.osu.edu/2021-22-caa-meetings-and-proposals</w:t>
        </w:r>
      </w:hyperlink>
      <w:r>
        <w:rPr>
          <w:rFonts w:ascii="Calibri" w:eastAsia="Times New Roman" w:hAnsi="Calibri" w:cs="Calibri"/>
        </w:rPr>
        <w:t>.)  The Panel also requests that the unit include information regarding how the</w:t>
      </w:r>
      <w:r w:rsidR="009B3A6D">
        <w:rPr>
          <w:rFonts w:ascii="Calibri" w:eastAsia="Times New Roman" w:hAnsi="Calibri" w:cs="Calibri"/>
        </w:rPr>
        <w:t xml:space="preserve">y </w:t>
      </w:r>
      <w:r>
        <w:rPr>
          <w:rFonts w:ascii="Calibri" w:eastAsia="Times New Roman" w:hAnsi="Calibri" w:cs="Calibri"/>
        </w:rPr>
        <w:t>will track</w:t>
      </w:r>
      <w:r w:rsidR="009B3A6D">
        <w:rPr>
          <w:rFonts w:ascii="Calibri" w:eastAsia="Times New Roman" w:hAnsi="Calibri" w:cs="Calibri"/>
        </w:rPr>
        <w:t xml:space="preserve"> </w:t>
      </w:r>
      <w:r>
        <w:rPr>
          <w:rFonts w:ascii="Calibri" w:eastAsia="Times New Roman" w:hAnsi="Calibri" w:cs="Calibri"/>
        </w:rPr>
        <w:t xml:space="preserve">course/seat availability and evaluate the efficacy of Embedded Literacy courses offered outside of the </w:t>
      </w:r>
      <w:r w:rsidR="00246A02">
        <w:rPr>
          <w:rFonts w:ascii="Calibri" w:eastAsia="Times New Roman" w:hAnsi="Calibri" w:cs="Calibri"/>
        </w:rPr>
        <w:t>unit</w:t>
      </w:r>
      <w:r>
        <w:rPr>
          <w:rFonts w:ascii="Calibri" w:eastAsia="Times New Roman" w:hAnsi="Calibri" w:cs="Calibri"/>
        </w:rPr>
        <w:t>.</w:t>
      </w:r>
    </w:p>
    <w:p w14:paraId="7639915D" w14:textId="73F67B6F" w:rsidR="001D2771" w:rsidRPr="001D2771" w:rsidRDefault="001D2771" w:rsidP="001D2771">
      <w:pPr>
        <w:numPr>
          <w:ilvl w:val="1"/>
          <w:numId w:val="30"/>
        </w:numPr>
        <w:spacing w:after="0" w:line="240" w:lineRule="auto"/>
        <w:rPr>
          <w:rFonts w:ascii="Calibri" w:eastAsia="Times New Roman" w:hAnsi="Calibri" w:cs="Calibri"/>
        </w:rPr>
      </w:pPr>
      <w:r w:rsidRPr="002A4757">
        <w:rPr>
          <w:rFonts w:ascii="Calibri" w:eastAsia="Times New Roman" w:hAnsi="Calibri" w:cs="Calibri"/>
          <w:i/>
          <w:iCs/>
        </w:rPr>
        <w:lastRenderedPageBreak/>
        <w:t>Recommendation</w:t>
      </w:r>
      <w:r>
        <w:rPr>
          <w:rFonts w:ascii="Calibri" w:eastAsia="Times New Roman" w:hAnsi="Calibri" w:cs="Calibri"/>
        </w:rPr>
        <w:t xml:space="preserve">: The Panel recommends that the </w:t>
      </w:r>
      <w:r w:rsidR="00246A02">
        <w:rPr>
          <w:rFonts w:ascii="Calibri" w:eastAsia="Times New Roman" w:hAnsi="Calibri" w:cs="Calibri"/>
        </w:rPr>
        <w:t>unit</w:t>
      </w:r>
      <w:r>
        <w:rPr>
          <w:rFonts w:ascii="Calibri" w:eastAsia="Times New Roman" w:hAnsi="Calibri" w:cs="Calibri"/>
        </w:rPr>
        <w:t xml:space="preserve"> require students to choose one thematic specialization and one geographic area specialization.</w:t>
      </w:r>
      <w:r w:rsidR="00BD0388">
        <w:rPr>
          <w:rFonts w:ascii="Calibri" w:eastAsia="Times New Roman" w:hAnsi="Calibri" w:cs="Calibri"/>
        </w:rPr>
        <w:t xml:space="preserve">  (See feedback item #1.)</w:t>
      </w:r>
    </w:p>
    <w:p w14:paraId="42E44D7D" w14:textId="072B9F9D" w:rsidR="00431AAC" w:rsidRDefault="003D4672" w:rsidP="00431AAC">
      <w:pPr>
        <w:numPr>
          <w:ilvl w:val="1"/>
          <w:numId w:val="30"/>
        </w:numPr>
        <w:spacing w:after="0" w:line="240" w:lineRule="auto"/>
        <w:rPr>
          <w:rFonts w:ascii="Calibri" w:eastAsia="Times New Roman" w:hAnsi="Calibri" w:cs="Calibri"/>
        </w:rPr>
      </w:pPr>
      <w:r w:rsidRPr="007730CA">
        <w:rPr>
          <w:rFonts w:ascii="Calibri" w:eastAsia="Times New Roman" w:hAnsi="Calibri" w:cs="Calibri"/>
          <w:i/>
          <w:iCs/>
        </w:rPr>
        <w:t>Recommendation</w:t>
      </w:r>
      <w:r>
        <w:rPr>
          <w:rFonts w:ascii="Calibri" w:eastAsia="Times New Roman" w:hAnsi="Calibri" w:cs="Calibri"/>
        </w:rPr>
        <w:t xml:space="preserve">: </w:t>
      </w:r>
      <w:r w:rsidR="004724F6">
        <w:rPr>
          <w:rFonts w:ascii="Calibri" w:eastAsia="Times New Roman" w:hAnsi="Calibri" w:cs="Calibri"/>
        </w:rPr>
        <w:t xml:space="preserve">The Panel offers </w:t>
      </w:r>
      <w:r w:rsidR="00126989">
        <w:rPr>
          <w:rFonts w:ascii="Calibri" w:eastAsia="Times New Roman" w:hAnsi="Calibri" w:cs="Calibri"/>
        </w:rPr>
        <w:t>the following</w:t>
      </w:r>
      <w:r w:rsidR="004724F6">
        <w:rPr>
          <w:rFonts w:ascii="Calibri" w:eastAsia="Times New Roman" w:hAnsi="Calibri" w:cs="Calibri"/>
        </w:rPr>
        <w:t xml:space="preserve"> friendly reminder</w:t>
      </w:r>
      <w:r w:rsidR="00126989">
        <w:rPr>
          <w:rFonts w:ascii="Calibri" w:eastAsia="Times New Roman" w:hAnsi="Calibri" w:cs="Calibri"/>
        </w:rPr>
        <w:t>s</w:t>
      </w:r>
      <w:r w:rsidR="004724F6">
        <w:rPr>
          <w:rFonts w:ascii="Calibri" w:eastAsia="Times New Roman" w:hAnsi="Calibri" w:cs="Calibri"/>
        </w:rPr>
        <w:t xml:space="preserve"> to the unit </w:t>
      </w:r>
      <w:r w:rsidR="00126989">
        <w:rPr>
          <w:rFonts w:ascii="Calibri" w:eastAsia="Times New Roman" w:hAnsi="Calibri" w:cs="Calibri"/>
        </w:rPr>
        <w:t>regarding courses listed as possibilities for</w:t>
      </w:r>
      <w:r w:rsidR="009B3A6D">
        <w:rPr>
          <w:rFonts w:ascii="Calibri" w:eastAsia="Times New Roman" w:hAnsi="Calibri" w:cs="Calibri"/>
        </w:rPr>
        <w:t xml:space="preserve"> the</w:t>
      </w:r>
      <w:r w:rsidR="00126989">
        <w:rPr>
          <w:rFonts w:ascii="Calibri" w:eastAsia="Times New Roman" w:hAnsi="Calibri" w:cs="Calibri"/>
        </w:rPr>
        <w:t xml:space="preserve"> various specializations in the major, </w:t>
      </w:r>
      <w:r w:rsidR="00431AAC">
        <w:rPr>
          <w:rFonts w:ascii="Calibri" w:eastAsia="Times New Roman" w:hAnsi="Calibri" w:cs="Calibri"/>
        </w:rPr>
        <w:t xml:space="preserve">and recommends that the unit consider </w:t>
      </w:r>
      <w:r w:rsidR="009353FA">
        <w:rPr>
          <w:rFonts w:ascii="Calibri" w:eastAsia="Times New Roman" w:hAnsi="Calibri" w:cs="Calibri"/>
        </w:rPr>
        <w:t>changes to the current proposal</w:t>
      </w:r>
      <w:r w:rsidR="00510F67">
        <w:rPr>
          <w:rFonts w:ascii="Calibri" w:eastAsia="Times New Roman" w:hAnsi="Calibri" w:cs="Calibri"/>
        </w:rPr>
        <w:t xml:space="preserve"> </w:t>
      </w:r>
      <w:r w:rsidR="009353FA">
        <w:rPr>
          <w:rFonts w:ascii="Calibri" w:eastAsia="Times New Roman" w:hAnsi="Calibri" w:cs="Calibri"/>
        </w:rPr>
        <w:t xml:space="preserve">as well as </w:t>
      </w:r>
      <w:r w:rsidR="009B3A6D">
        <w:rPr>
          <w:rFonts w:ascii="Calibri" w:eastAsia="Times New Roman" w:hAnsi="Calibri" w:cs="Calibri"/>
        </w:rPr>
        <w:t xml:space="preserve">plan </w:t>
      </w:r>
      <w:r w:rsidR="00BD0388">
        <w:rPr>
          <w:rFonts w:ascii="Calibri" w:eastAsia="Times New Roman" w:hAnsi="Calibri" w:cs="Calibri"/>
        </w:rPr>
        <w:t>for</w:t>
      </w:r>
      <w:r w:rsidR="00510F67">
        <w:rPr>
          <w:rFonts w:ascii="Calibri" w:eastAsia="Times New Roman" w:hAnsi="Calibri" w:cs="Calibri"/>
        </w:rPr>
        <w:t xml:space="preserve"> </w:t>
      </w:r>
      <w:r w:rsidR="009353FA">
        <w:rPr>
          <w:rFonts w:ascii="Calibri" w:eastAsia="Times New Roman" w:hAnsi="Calibri" w:cs="Calibri"/>
        </w:rPr>
        <w:t xml:space="preserve">how they will keep track </w:t>
      </w:r>
      <w:r w:rsidR="00560B59">
        <w:rPr>
          <w:rFonts w:ascii="Calibri" w:eastAsia="Times New Roman" w:hAnsi="Calibri" w:cs="Calibri"/>
        </w:rPr>
        <w:t>of similar changes to the status of courses in the future</w:t>
      </w:r>
      <w:r w:rsidR="00431AAC">
        <w:rPr>
          <w:rFonts w:ascii="Calibri" w:eastAsia="Times New Roman" w:hAnsi="Calibri" w:cs="Calibri"/>
        </w:rPr>
        <w:t>:</w:t>
      </w:r>
    </w:p>
    <w:p w14:paraId="28A8FB34" w14:textId="6CF198B5" w:rsidR="00431AAC" w:rsidRDefault="009353FA" w:rsidP="00431AAC">
      <w:pPr>
        <w:numPr>
          <w:ilvl w:val="2"/>
          <w:numId w:val="30"/>
        </w:numPr>
        <w:spacing w:after="0" w:line="240" w:lineRule="auto"/>
        <w:rPr>
          <w:rFonts w:ascii="Calibri" w:eastAsia="Times New Roman" w:hAnsi="Calibri" w:cs="Calibri"/>
        </w:rPr>
      </w:pPr>
      <w:r>
        <w:rPr>
          <w:rFonts w:ascii="Calibri" w:eastAsia="Times New Roman" w:hAnsi="Calibri" w:cs="Calibri"/>
        </w:rPr>
        <w:t>New c</w:t>
      </w:r>
      <w:r w:rsidR="003D1541" w:rsidRPr="00431AAC">
        <w:rPr>
          <w:rFonts w:ascii="Calibri" w:eastAsia="Times New Roman" w:hAnsi="Calibri" w:cs="Calibri"/>
        </w:rPr>
        <w:t>ourses that are not yet fully approved, such as History of Art/International Studies 3905</w:t>
      </w:r>
      <w:r w:rsidR="008F0DB6">
        <w:rPr>
          <w:rFonts w:ascii="Calibri" w:eastAsia="Times New Roman" w:hAnsi="Calibri" w:cs="Calibri"/>
        </w:rPr>
        <w:t xml:space="preserve"> </w:t>
      </w:r>
      <w:r w:rsidR="00A44560">
        <w:rPr>
          <w:rFonts w:ascii="Calibri" w:eastAsia="Times New Roman" w:hAnsi="Calibri" w:cs="Calibri"/>
        </w:rPr>
        <w:t xml:space="preserve">(proposal pgs. 15-16, 18-19, 21-22, &amp; 40-41,) </w:t>
      </w:r>
      <w:r w:rsidR="008F0DB6">
        <w:rPr>
          <w:rFonts w:ascii="Calibri" w:eastAsia="Times New Roman" w:hAnsi="Calibri" w:cs="Calibri"/>
        </w:rPr>
        <w:t>or Turkish 3797</w:t>
      </w:r>
      <w:r w:rsidR="00A44560">
        <w:rPr>
          <w:rFonts w:ascii="Calibri" w:eastAsia="Times New Roman" w:hAnsi="Calibri" w:cs="Calibri"/>
        </w:rPr>
        <w:t xml:space="preserve"> (proposal pgs. 44-45) </w:t>
      </w:r>
      <w:r w:rsidR="003D1541" w:rsidRPr="00431AAC">
        <w:rPr>
          <w:rFonts w:ascii="Calibri" w:eastAsia="Times New Roman" w:hAnsi="Calibri" w:cs="Calibri"/>
        </w:rPr>
        <w:t xml:space="preserve">should not be </w:t>
      </w:r>
      <w:r w:rsidR="00FB3FCE" w:rsidRPr="00431AAC">
        <w:rPr>
          <w:rFonts w:ascii="Calibri" w:eastAsia="Times New Roman" w:hAnsi="Calibri" w:cs="Calibri"/>
        </w:rPr>
        <w:t xml:space="preserve">listed on </w:t>
      </w:r>
      <w:r w:rsidR="00510F67">
        <w:rPr>
          <w:rFonts w:ascii="Calibri" w:eastAsia="Times New Roman" w:hAnsi="Calibri" w:cs="Calibri"/>
        </w:rPr>
        <w:t>a</w:t>
      </w:r>
      <w:r w:rsidR="00FB3FCE" w:rsidRPr="00431AAC">
        <w:rPr>
          <w:rFonts w:ascii="Calibri" w:eastAsia="Times New Roman" w:hAnsi="Calibri" w:cs="Calibri"/>
        </w:rPr>
        <w:t xml:space="preserve">dvising </w:t>
      </w:r>
      <w:r w:rsidR="00510F67">
        <w:rPr>
          <w:rFonts w:ascii="Calibri" w:eastAsia="Times New Roman" w:hAnsi="Calibri" w:cs="Calibri"/>
        </w:rPr>
        <w:t>s</w:t>
      </w:r>
      <w:r w:rsidR="00FB3FCE" w:rsidRPr="00431AAC">
        <w:rPr>
          <w:rFonts w:ascii="Calibri" w:eastAsia="Times New Roman" w:hAnsi="Calibri" w:cs="Calibri"/>
        </w:rPr>
        <w:t>heets, websites, or other student</w:t>
      </w:r>
      <w:r w:rsidR="00126989" w:rsidRPr="00431AAC">
        <w:rPr>
          <w:rFonts w:ascii="Calibri" w:eastAsia="Times New Roman" w:hAnsi="Calibri" w:cs="Calibri"/>
        </w:rPr>
        <w:t>-</w:t>
      </w:r>
      <w:r w:rsidR="00FB3FCE" w:rsidRPr="00431AAC">
        <w:rPr>
          <w:rFonts w:ascii="Calibri" w:eastAsia="Times New Roman" w:hAnsi="Calibri" w:cs="Calibri"/>
        </w:rPr>
        <w:t xml:space="preserve">facing </w:t>
      </w:r>
      <w:r w:rsidR="007730CA" w:rsidRPr="00431AAC">
        <w:rPr>
          <w:rFonts w:ascii="Calibri" w:eastAsia="Times New Roman" w:hAnsi="Calibri" w:cs="Calibri"/>
        </w:rPr>
        <w:t>re</w:t>
      </w:r>
      <w:r w:rsidR="007730CA">
        <w:rPr>
          <w:rFonts w:ascii="Calibri" w:eastAsia="Times New Roman" w:hAnsi="Calibri" w:cs="Calibri"/>
        </w:rPr>
        <w:t>s</w:t>
      </w:r>
      <w:r w:rsidR="007730CA" w:rsidRPr="00431AAC">
        <w:rPr>
          <w:rFonts w:ascii="Calibri" w:eastAsia="Times New Roman" w:hAnsi="Calibri" w:cs="Calibri"/>
        </w:rPr>
        <w:t>ources</w:t>
      </w:r>
      <w:r w:rsidR="00FB3FCE" w:rsidRPr="00431AAC">
        <w:rPr>
          <w:rFonts w:ascii="Calibri" w:eastAsia="Times New Roman" w:hAnsi="Calibri" w:cs="Calibri"/>
        </w:rPr>
        <w:t xml:space="preserve">.  </w:t>
      </w:r>
      <w:r w:rsidR="008F0DB6">
        <w:rPr>
          <w:rFonts w:ascii="Calibri" w:eastAsia="Times New Roman" w:hAnsi="Calibri" w:cs="Calibri"/>
        </w:rPr>
        <w:t xml:space="preserve">Additionally, </w:t>
      </w:r>
      <w:r w:rsidR="008D186D">
        <w:rPr>
          <w:rFonts w:ascii="Calibri" w:eastAsia="Times New Roman" w:hAnsi="Calibri" w:cs="Calibri"/>
        </w:rPr>
        <w:t xml:space="preserve">the Panel notes that </w:t>
      </w:r>
      <w:r w:rsidR="008F0DB6">
        <w:rPr>
          <w:rFonts w:ascii="Calibri" w:eastAsia="Times New Roman" w:hAnsi="Calibri" w:cs="Calibri"/>
        </w:rPr>
        <w:t xml:space="preserve">Turkish 3797 is listed as a </w:t>
      </w:r>
      <w:r w:rsidR="00A44560">
        <w:rPr>
          <w:rFonts w:ascii="Calibri" w:eastAsia="Times New Roman" w:hAnsi="Calibri" w:cs="Calibri"/>
        </w:rPr>
        <w:t>3-credit</w:t>
      </w:r>
      <w:r w:rsidR="008F0DB6">
        <w:rPr>
          <w:rFonts w:ascii="Calibri" w:eastAsia="Times New Roman" w:hAnsi="Calibri" w:cs="Calibri"/>
        </w:rPr>
        <w:t xml:space="preserve"> hour cours</w:t>
      </w:r>
      <w:r w:rsidR="008D186D">
        <w:rPr>
          <w:rFonts w:ascii="Calibri" w:eastAsia="Times New Roman" w:hAnsi="Calibri" w:cs="Calibri"/>
        </w:rPr>
        <w:t>e, but the current course proposal is for 4 credit hours.</w:t>
      </w:r>
    </w:p>
    <w:p w14:paraId="105166D4" w14:textId="25C6DD81" w:rsidR="00EF370C" w:rsidRPr="00431AAC" w:rsidRDefault="009353FA" w:rsidP="00431AAC">
      <w:pPr>
        <w:numPr>
          <w:ilvl w:val="2"/>
          <w:numId w:val="30"/>
        </w:numPr>
        <w:spacing w:after="0" w:line="240" w:lineRule="auto"/>
        <w:rPr>
          <w:rFonts w:ascii="Calibri" w:eastAsia="Times New Roman" w:hAnsi="Calibri" w:cs="Calibri"/>
        </w:rPr>
      </w:pPr>
      <w:r>
        <w:rPr>
          <w:rFonts w:ascii="Calibri" w:eastAsia="Times New Roman" w:hAnsi="Calibri" w:cs="Calibri"/>
        </w:rPr>
        <w:t>T</w:t>
      </w:r>
      <w:r w:rsidR="00FB3FCE" w:rsidRPr="00431AAC">
        <w:rPr>
          <w:rFonts w:ascii="Calibri" w:eastAsia="Times New Roman" w:hAnsi="Calibri" w:cs="Calibri"/>
        </w:rPr>
        <w:t xml:space="preserve">here </w:t>
      </w:r>
      <w:r w:rsidR="008F0DB6">
        <w:rPr>
          <w:rFonts w:ascii="Calibri" w:eastAsia="Times New Roman" w:hAnsi="Calibri" w:cs="Calibri"/>
        </w:rPr>
        <w:t>is a</w:t>
      </w:r>
      <w:r w:rsidR="00FB3FCE" w:rsidRPr="00431AAC">
        <w:rPr>
          <w:rFonts w:ascii="Calibri" w:eastAsia="Times New Roman" w:hAnsi="Calibri" w:cs="Calibri"/>
        </w:rPr>
        <w:t xml:space="preserve"> large number of courses across the university that will be placed into limbo or withdrawn </w:t>
      </w:r>
      <w:r w:rsidR="00126989" w:rsidRPr="00431AAC">
        <w:rPr>
          <w:rFonts w:ascii="Calibri" w:eastAsia="Times New Roman" w:hAnsi="Calibri" w:cs="Calibri"/>
        </w:rPr>
        <w:t xml:space="preserve">in SU23 </w:t>
      </w:r>
      <w:r w:rsidR="00FB3FCE" w:rsidRPr="00431AAC">
        <w:rPr>
          <w:rFonts w:ascii="Calibri" w:eastAsia="Times New Roman" w:hAnsi="Calibri" w:cs="Calibri"/>
        </w:rPr>
        <w:t xml:space="preserve">as a result of the </w:t>
      </w:r>
      <w:r w:rsidR="009B0F3F">
        <w:rPr>
          <w:rFonts w:ascii="Calibri" w:eastAsia="Times New Roman" w:hAnsi="Calibri" w:cs="Calibri"/>
        </w:rPr>
        <w:t xml:space="preserve">post-pandemic </w:t>
      </w:r>
      <w:r w:rsidR="00FB3FCE" w:rsidRPr="00431AAC">
        <w:rPr>
          <w:rFonts w:ascii="Calibri" w:eastAsia="Times New Roman" w:hAnsi="Calibri" w:cs="Calibri"/>
        </w:rPr>
        <w:t>reinstatement</w:t>
      </w:r>
      <w:r w:rsidR="00510F67">
        <w:rPr>
          <w:rFonts w:ascii="Calibri" w:eastAsia="Times New Roman" w:hAnsi="Calibri" w:cs="Calibri"/>
        </w:rPr>
        <w:t xml:space="preserve"> </w:t>
      </w:r>
      <w:r w:rsidR="00126989" w:rsidRPr="00431AAC">
        <w:rPr>
          <w:rFonts w:ascii="Calibri" w:eastAsia="Times New Roman" w:hAnsi="Calibri" w:cs="Calibri"/>
        </w:rPr>
        <w:t xml:space="preserve">of normal limbo/withdraw procedures during SU22.  </w:t>
      </w:r>
      <w:r w:rsidR="00510F67">
        <w:rPr>
          <w:rFonts w:ascii="Calibri" w:eastAsia="Times New Roman" w:hAnsi="Calibri" w:cs="Calibri"/>
        </w:rPr>
        <w:t>A list of courses slated to be placed into limbo and withdrawn can be found on the July 2022 and August 2022 Circulating Forms published by the Registrar’s Office (</w:t>
      </w:r>
      <w:hyperlink r:id="rId10" w:history="1">
        <w:r w:rsidR="00510F67" w:rsidRPr="00DE0B82">
          <w:rPr>
            <w:rStyle w:val="Hyperlink"/>
            <w:rFonts w:ascii="Calibri" w:eastAsia="Times New Roman" w:hAnsi="Calibri" w:cs="Calibri"/>
          </w:rPr>
          <w:t>https://registrar.osu.edu/apps/circform/circform.asp</w:t>
        </w:r>
      </w:hyperlink>
      <w:r w:rsidR="00510F67">
        <w:rPr>
          <w:rFonts w:ascii="Calibri" w:eastAsia="Times New Roman" w:hAnsi="Calibri" w:cs="Calibri"/>
        </w:rPr>
        <w:t>)</w:t>
      </w:r>
      <w:r w:rsidR="009B0F3F">
        <w:rPr>
          <w:rFonts w:ascii="Calibri" w:eastAsia="Times New Roman" w:hAnsi="Calibri" w:cs="Calibri"/>
        </w:rPr>
        <w:t xml:space="preserve">; </w:t>
      </w:r>
      <w:r w:rsidR="00510F67">
        <w:rPr>
          <w:rFonts w:ascii="Calibri" w:eastAsia="Times New Roman" w:hAnsi="Calibri" w:cs="Calibri"/>
        </w:rPr>
        <w:t xml:space="preserve">the most recent Limbo Course Report can be found here: </w:t>
      </w:r>
      <w:hyperlink r:id="rId11" w:history="1">
        <w:r w:rsidR="007730CA" w:rsidRPr="00DE0B82">
          <w:rPr>
            <w:rStyle w:val="Hyperlink"/>
            <w:rFonts w:ascii="Calibri" w:eastAsia="Times New Roman" w:hAnsi="Calibri" w:cs="Calibri"/>
          </w:rPr>
          <w:t>https://registrar.osu.edu/courses/index.asp</w:t>
        </w:r>
      </w:hyperlink>
      <w:r w:rsidR="00510F67">
        <w:rPr>
          <w:rFonts w:ascii="Calibri" w:eastAsia="Times New Roman" w:hAnsi="Calibri" w:cs="Calibri"/>
        </w:rPr>
        <w:t>.</w:t>
      </w:r>
      <w:r w:rsidR="007730CA">
        <w:rPr>
          <w:rFonts w:ascii="Calibri" w:eastAsia="Times New Roman" w:hAnsi="Calibri" w:cs="Calibri"/>
        </w:rPr>
        <w:t xml:space="preserve"> </w:t>
      </w:r>
    </w:p>
    <w:p w14:paraId="355132D5" w14:textId="7D6D7767" w:rsidR="00B451F1" w:rsidRPr="003263DD" w:rsidRDefault="00B451F1" w:rsidP="00B41DF6">
      <w:pPr>
        <w:numPr>
          <w:ilvl w:val="1"/>
          <w:numId w:val="30"/>
        </w:numPr>
        <w:spacing w:after="0" w:line="240" w:lineRule="auto"/>
        <w:rPr>
          <w:rFonts w:ascii="Calibri" w:eastAsia="Times New Roman" w:hAnsi="Calibri" w:cs="Calibri"/>
          <w:b/>
          <w:bCs/>
        </w:rPr>
      </w:pPr>
      <w:r>
        <w:rPr>
          <w:rFonts w:ascii="Calibri" w:eastAsia="Times New Roman" w:hAnsi="Calibri" w:cs="Calibri"/>
        </w:rPr>
        <w:t xml:space="preserve">Hooker, Dwyer; unanimously approved with </w:t>
      </w:r>
      <w:r w:rsidR="00C8396F" w:rsidRPr="009B0F3F">
        <w:rPr>
          <w:rFonts w:ascii="Calibri" w:eastAsia="Times New Roman" w:hAnsi="Calibri" w:cs="Calibri"/>
          <w:b/>
          <w:bCs/>
        </w:rPr>
        <w:t>seven contingencies</w:t>
      </w:r>
      <w:r w:rsidR="00C8396F">
        <w:rPr>
          <w:rFonts w:ascii="Calibri" w:eastAsia="Times New Roman" w:hAnsi="Calibri" w:cs="Calibri"/>
        </w:rPr>
        <w:t xml:space="preserve"> (in bold above)</w:t>
      </w:r>
      <w:r w:rsidR="003263DD">
        <w:rPr>
          <w:rFonts w:ascii="Calibri" w:eastAsia="Times New Roman" w:hAnsi="Calibri" w:cs="Calibri"/>
        </w:rPr>
        <w:t xml:space="preserve"> and </w:t>
      </w:r>
      <w:r w:rsidR="003263DD">
        <w:rPr>
          <w:rFonts w:ascii="Calibri" w:eastAsia="Times New Roman" w:hAnsi="Calibri" w:cs="Calibri"/>
          <w:i/>
          <w:iCs/>
        </w:rPr>
        <w:t>two recommendations</w:t>
      </w:r>
      <w:r w:rsidR="003263DD">
        <w:rPr>
          <w:rFonts w:ascii="Calibri" w:eastAsia="Times New Roman" w:hAnsi="Calibri" w:cs="Calibri"/>
        </w:rPr>
        <w:t xml:space="preserve"> (in italics above).</w:t>
      </w:r>
    </w:p>
    <w:p w14:paraId="4A6ADAD8" w14:textId="5AFEA353" w:rsidR="00B41DF6" w:rsidRDefault="00B41DF6" w:rsidP="00B41DF6">
      <w:pPr>
        <w:numPr>
          <w:ilvl w:val="0"/>
          <w:numId w:val="30"/>
        </w:numPr>
        <w:spacing w:after="0" w:line="240" w:lineRule="auto"/>
        <w:rPr>
          <w:rFonts w:ascii="Calibri" w:eastAsia="Times New Roman" w:hAnsi="Calibri" w:cs="Calibri"/>
        </w:rPr>
      </w:pPr>
      <w:r w:rsidRPr="00B41DF6">
        <w:rPr>
          <w:rFonts w:ascii="Calibri" w:eastAsia="Times New Roman" w:hAnsi="Calibri" w:cs="Calibri"/>
        </w:rPr>
        <w:t>New undergraduate certificate in Climate Change Fundamentals (submitted by Geography and Earth Science)</w:t>
      </w:r>
    </w:p>
    <w:p w14:paraId="75CC8449" w14:textId="2AB158FB" w:rsidR="00A63B62" w:rsidRDefault="00F003FF" w:rsidP="00A63B62">
      <w:pPr>
        <w:numPr>
          <w:ilvl w:val="1"/>
          <w:numId w:val="30"/>
        </w:numPr>
        <w:spacing w:after="0" w:line="240" w:lineRule="auto"/>
        <w:rPr>
          <w:rFonts w:ascii="Calibri" w:eastAsia="Times New Roman" w:hAnsi="Calibri" w:cs="Calibri"/>
        </w:rPr>
      </w:pPr>
      <w:r w:rsidRPr="009C4C1F">
        <w:rPr>
          <w:rFonts w:ascii="Calibri" w:eastAsia="Times New Roman" w:hAnsi="Calibri" w:cs="Calibri"/>
          <w:b/>
          <w:bCs/>
        </w:rPr>
        <w:t>Contingency</w:t>
      </w:r>
      <w:r>
        <w:rPr>
          <w:rFonts w:ascii="Calibri" w:eastAsia="Times New Roman" w:hAnsi="Calibri" w:cs="Calibri"/>
        </w:rPr>
        <w:t xml:space="preserve">: </w:t>
      </w:r>
      <w:r w:rsidR="00BA7F99">
        <w:rPr>
          <w:rFonts w:ascii="Calibri" w:eastAsia="Times New Roman" w:hAnsi="Calibri" w:cs="Calibri"/>
        </w:rPr>
        <w:t xml:space="preserve">The Panel asks that the </w:t>
      </w:r>
      <w:r w:rsidR="00246A02">
        <w:rPr>
          <w:rFonts w:ascii="Calibri" w:eastAsia="Times New Roman" w:hAnsi="Calibri" w:cs="Calibri"/>
        </w:rPr>
        <w:t>units</w:t>
      </w:r>
      <w:r w:rsidR="00BA7F99">
        <w:rPr>
          <w:rFonts w:ascii="Calibri" w:eastAsia="Times New Roman" w:hAnsi="Calibri" w:cs="Calibri"/>
        </w:rPr>
        <w:t xml:space="preserve"> </w:t>
      </w:r>
      <w:r w:rsidR="00C8396F">
        <w:rPr>
          <w:rFonts w:ascii="Calibri" w:eastAsia="Times New Roman" w:hAnsi="Calibri" w:cs="Calibri"/>
        </w:rPr>
        <w:t>provide more information about</w:t>
      </w:r>
      <w:r w:rsidR="00BA7F99">
        <w:rPr>
          <w:rFonts w:ascii="Calibri" w:eastAsia="Times New Roman" w:hAnsi="Calibri" w:cs="Calibri"/>
        </w:rPr>
        <w:t xml:space="preserve"> how students will complete the poster project requirement</w:t>
      </w:r>
      <w:r w:rsidR="00C8396F">
        <w:rPr>
          <w:rFonts w:ascii="Calibri" w:eastAsia="Times New Roman" w:hAnsi="Calibri" w:cs="Calibri"/>
        </w:rPr>
        <w:t xml:space="preserve">.  </w:t>
      </w:r>
      <w:r w:rsidR="00BA7F99">
        <w:rPr>
          <w:rFonts w:ascii="Calibri" w:eastAsia="Times New Roman" w:hAnsi="Calibri" w:cs="Calibri"/>
        </w:rPr>
        <w:t>Specifically, they are interested in whether this is a</w:t>
      </w:r>
      <w:r w:rsidR="00C8396F">
        <w:rPr>
          <w:rFonts w:ascii="Calibri" w:eastAsia="Times New Roman" w:hAnsi="Calibri" w:cs="Calibri"/>
        </w:rPr>
        <w:t xml:space="preserve">n element that is included in all capstone courses, or if students </w:t>
      </w:r>
      <w:r w:rsidR="00BC2EEA">
        <w:rPr>
          <w:rFonts w:ascii="Calibri" w:eastAsia="Times New Roman" w:hAnsi="Calibri" w:cs="Calibri"/>
        </w:rPr>
        <w:t xml:space="preserve">must </w:t>
      </w:r>
      <w:r w:rsidR="00C8396F">
        <w:rPr>
          <w:rFonts w:ascii="Calibri" w:eastAsia="Times New Roman" w:hAnsi="Calibri" w:cs="Calibri"/>
        </w:rPr>
        <w:t>complete this requirement outside of class</w:t>
      </w:r>
      <w:r w:rsidR="00BC2EEA">
        <w:rPr>
          <w:rFonts w:ascii="Calibri" w:eastAsia="Times New Roman" w:hAnsi="Calibri" w:cs="Calibri"/>
        </w:rPr>
        <w:t xml:space="preserve"> in some or all cases</w:t>
      </w:r>
      <w:r w:rsidR="00C8396F">
        <w:rPr>
          <w:rFonts w:ascii="Calibri" w:eastAsia="Times New Roman" w:hAnsi="Calibri" w:cs="Calibri"/>
        </w:rPr>
        <w:t xml:space="preserve">.  They also ask that the </w:t>
      </w:r>
      <w:r w:rsidR="00246A02">
        <w:rPr>
          <w:rFonts w:ascii="Calibri" w:eastAsia="Times New Roman" w:hAnsi="Calibri" w:cs="Calibri"/>
        </w:rPr>
        <w:t>units</w:t>
      </w:r>
      <w:r w:rsidR="00C8396F">
        <w:rPr>
          <w:rFonts w:ascii="Calibri" w:eastAsia="Times New Roman" w:hAnsi="Calibri" w:cs="Calibri"/>
        </w:rPr>
        <w:t xml:space="preserve"> include information about this requirement on the</w:t>
      </w:r>
      <w:r w:rsidR="009C4C1F">
        <w:rPr>
          <w:rFonts w:ascii="Calibri" w:eastAsia="Times New Roman" w:hAnsi="Calibri" w:cs="Calibri"/>
        </w:rPr>
        <w:t xml:space="preserve"> Certificate Advising Sheet (Appendix A, pg. 15). </w:t>
      </w:r>
    </w:p>
    <w:p w14:paraId="659E954D" w14:textId="00247403" w:rsidR="008E6642" w:rsidRDefault="008E6642" w:rsidP="00A63B62">
      <w:pPr>
        <w:numPr>
          <w:ilvl w:val="1"/>
          <w:numId w:val="30"/>
        </w:numPr>
        <w:spacing w:after="0" w:line="240" w:lineRule="auto"/>
        <w:rPr>
          <w:rFonts w:ascii="Calibri" w:eastAsia="Times New Roman" w:hAnsi="Calibri" w:cs="Calibri"/>
        </w:rPr>
      </w:pPr>
      <w:r>
        <w:rPr>
          <w:rFonts w:ascii="Calibri" w:eastAsia="Times New Roman" w:hAnsi="Calibri" w:cs="Calibri"/>
          <w:b/>
          <w:bCs/>
        </w:rPr>
        <w:t>Contingency</w:t>
      </w:r>
      <w:r w:rsidRPr="008E6642">
        <w:rPr>
          <w:rFonts w:ascii="Calibri" w:eastAsia="Times New Roman" w:hAnsi="Calibri" w:cs="Calibri"/>
        </w:rPr>
        <w:t>:</w:t>
      </w:r>
      <w:r>
        <w:rPr>
          <w:rFonts w:ascii="Calibri" w:eastAsia="Times New Roman" w:hAnsi="Calibri" w:cs="Calibri"/>
        </w:rPr>
        <w:t xml:space="preserve"> The Panel asks that the </w:t>
      </w:r>
      <w:r w:rsidR="00246A02">
        <w:rPr>
          <w:rFonts w:ascii="Calibri" w:eastAsia="Times New Roman" w:hAnsi="Calibri" w:cs="Calibri"/>
        </w:rPr>
        <w:t>units</w:t>
      </w:r>
      <w:r w:rsidR="00D14EC7">
        <w:rPr>
          <w:rFonts w:ascii="Calibri" w:eastAsia="Times New Roman" w:hAnsi="Calibri" w:cs="Calibri"/>
        </w:rPr>
        <w:t xml:space="preserve"> denote </w:t>
      </w:r>
      <w:r w:rsidR="006117AF">
        <w:rPr>
          <w:rFonts w:ascii="Calibri" w:eastAsia="Times New Roman" w:hAnsi="Calibri" w:cs="Calibri"/>
        </w:rPr>
        <w:t xml:space="preserve">on the Advising Sheet </w:t>
      </w:r>
      <w:r w:rsidR="00D14EC7">
        <w:rPr>
          <w:rFonts w:ascii="Calibri" w:eastAsia="Times New Roman" w:hAnsi="Calibri" w:cs="Calibri"/>
        </w:rPr>
        <w:t>the courses in the Human Dimensions and Climate System Science categories which require pre-requisites outside of the certificate</w:t>
      </w:r>
      <w:r w:rsidR="006117AF">
        <w:rPr>
          <w:rFonts w:ascii="Calibri" w:eastAsia="Times New Roman" w:hAnsi="Calibri" w:cs="Calibri"/>
        </w:rPr>
        <w:t>.</w:t>
      </w:r>
    </w:p>
    <w:p w14:paraId="73173418" w14:textId="0423B571" w:rsidR="00A63B62" w:rsidRDefault="00F003FF" w:rsidP="00A63B62">
      <w:pPr>
        <w:numPr>
          <w:ilvl w:val="1"/>
          <w:numId w:val="30"/>
        </w:numPr>
        <w:spacing w:after="0" w:line="240" w:lineRule="auto"/>
        <w:rPr>
          <w:rFonts w:ascii="Calibri" w:eastAsia="Times New Roman" w:hAnsi="Calibri" w:cs="Calibri"/>
        </w:rPr>
      </w:pPr>
      <w:r w:rsidRPr="003A09F0">
        <w:rPr>
          <w:rFonts w:ascii="Calibri" w:eastAsia="Times New Roman" w:hAnsi="Calibri" w:cs="Calibri"/>
          <w:i/>
          <w:iCs/>
        </w:rPr>
        <w:t>Recommendation</w:t>
      </w:r>
      <w:r>
        <w:rPr>
          <w:rFonts w:ascii="Calibri" w:eastAsia="Times New Roman" w:hAnsi="Calibri" w:cs="Calibri"/>
        </w:rPr>
        <w:t>:</w:t>
      </w:r>
      <w:r w:rsidR="00120DFC">
        <w:rPr>
          <w:rFonts w:ascii="Calibri" w:eastAsia="Times New Roman" w:hAnsi="Calibri" w:cs="Calibri"/>
        </w:rPr>
        <w:t xml:space="preserve"> The Panel recommends that the </w:t>
      </w:r>
      <w:r w:rsidR="00246A02">
        <w:rPr>
          <w:rFonts w:ascii="Calibri" w:eastAsia="Times New Roman" w:hAnsi="Calibri" w:cs="Calibri"/>
        </w:rPr>
        <w:t>units</w:t>
      </w:r>
      <w:r w:rsidR="00120DFC">
        <w:rPr>
          <w:rFonts w:ascii="Calibri" w:eastAsia="Times New Roman" w:hAnsi="Calibri" w:cs="Calibri"/>
        </w:rPr>
        <w:t xml:space="preserve"> consider whether the poster presentation requirement is sustainable.  </w:t>
      </w:r>
      <w:r w:rsidR="00635611">
        <w:rPr>
          <w:rFonts w:ascii="Calibri" w:eastAsia="Times New Roman" w:hAnsi="Calibri" w:cs="Calibri"/>
        </w:rPr>
        <w:t>Given that</w:t>
      </w:r>
      <w:r w:rsidR="00120DFC">
        <w:rPr>
          <w:rFonts w:ascii="Calibri" w:eastAsia="Times New Roman" w:hAnsi="Calibri" w:cs="Calibri"/>
        </w:rPr>
        <w:t xml:space="preserve"> this certificate will </w:t>
      </w:r>
      <w:r w:rsidR="00635611">
        <w:rPr>
          <w:rFonts w:ascii="Calibri" w:eastAsia="Times New Roman" w:hAnsi="Calibri" w:cs="Calibri"/>
        </w:rPr>
        <w:t xml:space="preserve">likely </w:t>
      </w:r>
      <w:r w:rsidR="00120DFC">
        <w:rPr>
          <w:rFonts w:ascii="Calibri" w:eastAsia="Times New Roman" w:hAnsi="Calibri" w:cs="Calibri"/>
        </w:rPr>
        <w:t xml:space="preserve">be very popular, they </w:t>
      </w:r>
      <w:r w:rsidR="00635611">
        <w:rPr>
          <w:rFonts w:ascii="Calibri" w:eastAsia="Times New Roman" w:hAnsi="Calibri" w:cs="Calibri"/>
        </w:rPr>
        <w:t xml:space="preserve">recommend that the </w:t>
      </w:r>
      <w:r w:rsidR="00246A02">
        <w:rPr>
          <w:rFonts w:ascii="Calibri" w:eastAsia="Times New Roman" w:hAnsi="Calibri" w:cs="Calibri"/>
        </w:rPr>
        <w:t>units</w:t>
      </w:r>
      <w:r w:rsidR="00635611">
        <w:rPr>
          <w:rFonts w:ascii="Calibri" w:eastAsia="Times New Roman" w:hAnsi="Calibri" w:cs="Calibri"/>
        </w:rPr>
        <w:t xml:space="preserve"> </w:t>
      </w:r>
      <w:r w:rsidR="00BC2EEA">
        <w:rPr>
          <w:rFonts w:ascii="Calibri" w:eastAsia="Times New Roman" w:hAnsi="Calibri" w:cs="Calibri"/>
        </w:rPr>
        <w:t xml:space="preserve">evaluate </w:t>
      </w:r>
      <w:r w:rsidR="00120DFC">
        <w:rPr>
          <w:rFonts w:ascii="Calibri" w:eastAsia="Times New Roman" w:hAnsi="Calibri" w:cs="Calibri"/>
        </w:rPr>
        <w:t xml:space="preserve">whether the </w:t>
      </w:r>
      <w:r w:rsidR="00BC2EEA">
        <w:rPr>
          <w:rFonts w:ascii="Calibri" w:eastAsia="Times New Roman" w:hAnsi="Calibri" w:cs="Calibri"/>
        </w:rPr>
        <w:t>S</w:t>
      </w:r>
      <w:r w:rsidR="00120DFC">
        <w:rPr>
          <w:rFonts w:ascii="Calibri" w:eastAsia="Times New Roman" w:hAnsi="Calibri" w:cs="Calibri"/>
        </w:rPr>
        <w:t xml:space="preserve">teering </w:t>
      </w:r>
      <w:r w:rsidR="00BC2EEA">
        <w:rPr>
          <w:rFonts w:ascii="Calibri" w:eastAsia="Times New Roman" w:hAnsi="Calibri" w:cs="Calibri"/>
        </w:rPr>
        <w:t>C</w:t>
      </w:r>
      <w:r w:rsidR="00120DFC">
        <w:rPr>
          <w:rFonts w:ascii="Calibri" w:eastAsia="Times New Roman" w:hAnsi="Calibri" w:cs="Calibri"/>
        </w:rPr>
        <w:t>ommittee will have t</w:t>
      </w:r>
      <w:r w:rsidR="00BC2EEA">
        <w:rPr>
          <w:rFonts w:ascii="Calibri" w:eastAsia="Times New Roman" w:hAnsi="Calibri" w:cs="Calibri"/>
        </w:rPr>
        <w:t>he</w:t>
      </w:r>
      <w:r w:rsidR="00120DFC">
        <w:rPr>
          <w:rFonts w:ascii="Calibri" w:eastAsia="Times New Roman" w:hAnsi="Calibri" w:cs="Calibri"/>
        </w:rPr>
        <w:t xml:space="preserve"> capacity to review all projects each semester.</w:t>
      </w:r>
      <w:r>
        <w:rPr>
          <w:rFonts w:ascii="Calibri" w:eastAsia="Times New Roman" w:hAnsi="Calibri" w:cs="Calibri"/>
        </w:rPr>
        <w:t xml:space="preserve"> </w:t>
      </w:r>
    </w:p>
    <w:p w14:paraId="2955BF21" w14:textId="11126ECA" w:rsidR="00A63B62" w:rsidRDefault="00F003FF" w:rsidP="00A63B62">
      <w:pPr>
        <w:numPr>
          <w:ilvl w:val="1"/>
          <w:numId w:val="30"/>
        </w:numPr>
        <w:spacing w:after="0" w:line="240" w:lineRule="auto"/>
        <w:rPr>
          <w:rFonts w:ascii="Calibri" w:eastAsia="Times New Roman" w:hAnsi="Calibri" w:cs="Calibri"/>
        </w:rPr>
      </w:pPr>
      <w:r w:rsidRPr="003A09F0">
        <w:rPr>
          <w:rFonts w:ascii="Calibri" w:eastAsia="Times New Roman" w:hAnsi="Calibri" w:cs="Calibri"/>
          <w:i/>
          <w:iCs/>
        </w:rPr>
        <w:t>Recommendation</w:t>
      </w:r>
      <w:r>
        <w:rPr>
          <w:rFonts w:ascii="Calibri" w:eastAsia="Times New Roman" w:hAnsi="Calibri" w:cs="Calibri"/>
        </w:rPr>
        <w:t xml:space="preserve">: </w:t>
      </w:r>
      <w:r w:rsidR="008E6642">
        <w:rPr>
          <w:rFonts w:ascii="Calibri" w:eastAsia="Times New Roman" w:hAnsi="Calibri" w:cs="Calibri"/>
        </w:rPr>
        <w:t xml:space="preserve">The Panel </w:t>
      </w:r>
      <w:r w:rsidR="006117AF">
        <w:rPr>
          <w:rFonts w:ascii="Calibri" w:eastAsia="Times New Roman" w:hAnsi="Calibri" w:cs="Calibri"/>
        </w:rPr>
        <w:t xml:space="preserve">recommends that the </w:t>
      </w:r>
      <w:r w:rsidR="00246A02">
        <w:rPr>
          <w:rFonts w:ascii="Calibri" w:eastAsia="Times New Roman" w:hAnsi="Calibri" w:cs="Calibri"/>
        </w:rPr>
        <w:t>units</w:t>
      </w:r>
      <w:r w:rsidR="006117AF">
        <w:rPr>
          <w:rFonts w:ascii="Calibri" w:eastAsia="Times New Roman" w:hAnsi="Calibri" w:cs="Calibri"/>
        </w:rPr>
        <w:t xml:space="preserve"> add a space on the  Certif</w:t>
      </w:r>
      <w:r w:rsidR="0095359D">
        <w:rPr>
          <w:rFonts w:ascii="Calibri" w:eastAsia="Times New Roman" w:hAnsi="Calibri" w:cs="Calibri"/>
        </w:rPr>
        <w:t>icate Completion Sheet (Appendix B</w:t>
      </w:r>
      <w:r w:rsidR="00BC2EEA">
        <w:rPr>
          <w:rFonts w:ascii="Calibri" w:eastAsia="Times New Roman" w:hAnsi="Calibri" w:cs="Calibri"/>
        </w:rPr>
        <w:t>, pg. 16</w:t>
      </w:r>
      <w:r w:rsidR="0095359D">
        <w:rPr>
          <w:rFonts w:ascii="Calibri" w:eastAsia="Times New Roman" w:hAnsi="Calibri" w:cs="Calibri"/>
        </w:rPr>
        <w:t>) for students to denote which course they took to complete the requirement.</w:t>
      </w:r>
    </w:p>
    <w:p w14:paraId="0417BA2B" w14:textId="0C6BECA2" w:rsidR="00AA1CBD" w:rsidRDefault="00F214EC" w:rsidP="00A63B62">
      <w:pPr>
        <w:numPr>
          <w:ilvl w:val="1"/>
          <w:numId w:val="30"/>
        </w:numPr>
        <w:spacing w:after="0" w:line="240" w:lineRule="auto"/>
        <w:rPr>
          <w:rFonts w:ascii="Calibri" w:eastAsia="Times New Roman" w:hAnsi="Calibri" w:cs="Calibri"/>
        </w:rPr>
      </w:pPr>
      <w:r w:rsidRPr="003A09F0">
        <w:rPr>
          <w:rFonts w:ascii="Calibri" w:eastAsia="Times New Roman" w:hAnsi="Calibri" w:cs="Calibri"/>
          <w:i/>
          <w:iCs/>
        </w:rPr>
        <w:t>Recommendation</w:t>
      </w:r>
      <w:r>
        <w:rPr>
          <w:rFonts w:ascii="Calibri" w:eastAsia="Times New Roman" w:hAnsi="Calibri" w:cs="Calibri"/>
        </w:rPr>
        <w:t>:</w:t>
      </w:r>
      <w:r w:rsidR="0095359D">
        <w:rPr>
          <w:rFonts w:ascii="Calibri" w:eastAsia="Times New Roman" w:hAnsi="Calibri" w:cs="Calibri"/>
        </w:rPr>
        <w:t xml:space="preserve">  The Panel recommends that the </w:t>
      </w:r>
      <w:r w:rsidR="00246A02">
        <w:rPr>
          <w:rFonts w:ascii="Calibri" w:eastAsia="Times New Roman" w:hAnsi="Calibri" w:cs="Calibri"/>
        </w:rPr>
        <w:t>units</w:t>
      </w:r>
      <w:r>
        <w:rPr>
          <w:rFonts w:ascii="Calibri" w:eastAsia="Times New Roman" w:hAnsi="Calibri" w:cs="Calibri"/>
        </w:rPr>
        <w:t xml:space="preserve"> </w:t>
      </w:r>
      <w:r w:rsidR="00635611">
        <w:rPr>
          <w:rFonts w:ascii="Calibri" w:eastAsia="Times New Roman" w:hAnsi="Calibri" w:cs="Calibri"/>
        </w:rPr>
        <w:t xml:space="preserve">adjust their materials to include Earth Science/EEOB/History 1911 as a possible Core Course in the certificate.  While the Panel understands that a course change request to re-number </w:t>
      </w:r>
      <w:r w:rsidR="003A09F0">
        <w:rPr>
          <w:rFonts w:ascii="Calibri" w:eastAsia="Times New Roman" w:hAnsi="Calibri" w:cs="Calibri"/>
        </w:rPr>
        <w:t xml:space="preserve">1911 to 2911 is currently making its way through the approval process, they note </w:t>
      </w:r>
      <w:r w:rsidR="00BC2EEA">
        <w:rPr>
          <w:rFonts w:ascii="Calibri" w:eastAsia="Times New Roman" w:hAnsi="Calibri" w:cs="Calibri"/>
        </w:rPr>
        <w:t>the possibility</w:t>
      </w:r>
      <w:r w:rsidR="003A09F0">
        <w:rPr>
          <w:rFonts w:ascii="Calibri" w:eastAsia="Times New Roman" w:hAnsi="Calibri" w:cs="Calibri"/>
        </w:rPr>
        <w:t xml:space="preserve"> that the certificate will be approved prior to the course change being approved</w:t>
      </w:r>
      <w:r w:rsidR="003769E9">
        <w:rPr>
          <w:rFonts w:ascii="Calibri" w:eastAsia="Times New Roman" w:hAnsi="Calibri" w:cs="Calibri"/>
        </w:rPr>
        <w:t xml:space="preserve"> and recommend that the units take this into consideration.</w:t>
      </w:r>
    </w:p>
    <w:p w14:paraId="1D8DDE8A" w14:textId="0E98AFAD" w:rsidR="0022491A" w:rsidRPr="00170F3F" w:rsidRDefault="00F214EC" w:rsidP="00455632">
      <w:pPr>
        <w:pStyle w:val="ListParagraph"/>
        <w:numPr>
          <w:ilvl w:val="1"/>
          <w:numId w:val="30"/>
        </w:numPr>
        <w:spacing w:after="0" w:line="240" w:lineRule="auto"/>
        <w:ind w:left="720"/>
        <w:rPr>
          <w:rFonts w:ascii="Calibri" w:eastAsia="Times New Roman" w:hAnsi="Calibri" w:cs="Calibri"/>
        </w:rPr>
      </w:pPr>
      <w:r w:rsidRPr="00FB2740">
        <w:rPr>
          <w:rFonts w:ascii="Calibri" w:eastAsia="Times New Roman" w:hAnsi="Calibri" w:cs="Calibri"/>
        </w:rPr>
        <w:t xml:space="preserve">Hooker, Nathanson; unanimously approved with </w:t>
      </w:r>
      <w:r w:rsidR="00FB2740" w:rsidRPr="00FB2740">
        <w:rPr>
          <w:rFonts w:ascii="Calibri" w:eastAsia="Times New Roman" w:hAnsi="Calibri" w:cs="Calibri"/>
          <w:b/>
          <w:bCs/>
        </w:rPr>
        <w:t>two</w:t>
      </w:r>
      <w:r w:rsidR="00FB2740">
        <w:rPr>
          <w:rFonts w:ascii="Calibri" w:eastAsia="Times New Roman" w:hAnsi="Calibri" w:cs="Calibri"/>
          <w:b/>
          <w:bCs/>
        </w:rPr>
        <w:t xml:space="preserve"> contingencies </w:t>
      </w:r>
      <w:r w:rsidR="00FB2740">
        <w:rPr>
          <w:rFonts w:ascii="Calibri" w:eastAsia="Times New Roman" w:hAnsi="Calibri" w:cs="Calibri"/>
        </w:rPr>
        <w:t xml:space="preserve">(in bold above) and </w:t>
      </w:r>
      <w:r w:rsidR="00FB2740">
        <w:rPr>
          <w:rFonts w:ascii="Calibri" w:eastAsia="Times New Roman" w:hAnsi="Calibri" w:cs="Calibri"/>
          <w:i/>
          <w:iCs/>
        </w:rPr>
        <w:t>three recommendations</w:t>
      </w:r>
      <w:r w:rsidR="00FB2740">
        <w:rPr>
          <w:rFonts w:ascii="Calibri" w:eastAsia="Times New Roman" w:hAnsi="Calibri" w:cs="Calibri"/>
        </w:rPr>
        <w:t xml:space="preserve"> (in italics above).</w:t>
      </w:r>
    </w:p>
    <w:sectPr w:rsidR="0022491A" w:rsidRPr="0017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55C"/>
    <w:multiLevelType w:val="multilevel"/>
    <w:tmpl w:val="2990CE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3B575D"/>
    <w:multiLevelType w:val="multilevel"/>
    <w:tmpl w:val="85D4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F052B"/>
    <w:multiLevelType w:val="multilevel"/>
    <w:tmpl w:val="E734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4920"/>
    <w:multiLevelType w:val="multilevel"/>
    <w:tmpl w:val="3DF2D7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 w15:restartNumberingAfterBreak="0">
    <w:nsid w:val="1B762CA9"/>
    <w:multiLevelType w:val="multilevel"/>
    <w:tmpl w:val="17F4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62C28"/>
    <w:multiLevelType w:val="hybridMultilevel"/>
    <w:tmpl w:val="827E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C2AE2"/>
    <w:multiLevelType w:val="hybridMultilevel"/>
    <w:tmpl w:val="E1481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3812"/>
    <w:multiLevelType w:val="multilevel"/>
    <w:tmpl w:val="82E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A7699"/>
    <w:multiLevelType w:val="multilevel"/>
    <w:tmpl w:val="2990CEF4"/>
    <w:numStyleLink w:val="Style1"/>
  </w:abstractNum>
  <w:abstractNum w:abstractNumId="11"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30724"/>
    <w:multiLevelType w:val="multilevel"/>
    <w:tmpl w:val="395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DC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A57C45"/>
    <w:multiLevelType w:val="multilevel"/>
    <w:tmpl w:val="2990CEF4"/>
    <w:styleLink w:val="Style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5"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7582F"/>
    <w:multiLevelType w:val="multilevel"/>
    <w:tmpl w:val="A20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E19EF"/>
    <w:multiLevelType w:val="multilevel"/>
    <w:tmpl w:val="8354B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286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861E9C"/>
    <w:multiLevelType w:val="hybridMultilevel"/>
    <w:tmpl w:val="102E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53E8D"/>
    <w:multiLevelType w:val="hybridMultilevel"/>
    <w:tmpl w:val="E5D00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A50E40"/>
    <w:multiLevelType w:val="multilevel"/>
    <w:tmpl w:val="87D456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2" w15:restartNumberingAfterBreak="0">
    <w:nsid w:val="7190007E"/>
    <w:multiLevelType w:val="multilevel"/>
    <w:tmpl w:val="3FDE82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3" w15:restartNumberingAfterBreak="0">
    <w:nsid w:val="74327701"/>
    <w:multiLevelType w:val="multilevel"/>
    <w:tmpl w:val="57E20C80"/>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4" w15:restartNumberingAfterBreak="0">
    <w:nsid w:val="75FA4E4E"/>
    <w:multiLevelType w:val="multilevel"/>
    <w:tmpl w:val="C1F44F4A"/>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7CD4210"/>
    <w:multiLevelType w:val="hybridMultilevel"/>
    <w:tmpl w:val="4A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677C"/>
    <w:multiLevelType w:val="multilevel"/>
    <w:tmpl w:val="02A02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807AE0"/>
    <w:multiLevelType w:val="multilevel"/>
    <w:tmpl w:val="58F8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DB1A5A"/>
    <w:multiLevelType w:val="multilevel"/>
    <w:tmpl w:val="6FD47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num w:numId="1" w16cid:durableId="2131364114">
    <w:abstractNumId w:val="7"/>
  </w:num>
  <w:num w:numId="2" w16cid:durableId="587928987">
    <w:abstractNumId w:val="5"/>
  </w:num>
  <w:num w:numId="3" w16cid:durableId="1584147707">
    <w:abstractNumId w:val="11"/>
  </w:num>
  <w:num w:numId="4" w16cid:durableId="2105689746">
    <w:abstractNumId w:val="15"/>
  </w:num>
  <w:num w:numId="5" w16cid:durableId="1170826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1968">
    <w:abstractNumId w:val="2"/>
  </w:num>
  <w:num w:numId="7" w16cid:durableId="385614198">
    <w:abstractNumId w:val="17"/>
  </w:num>
  <w:num w:numId="8" w16cid:durableId="1666779944">
    <w:abstractNumId w:val="6"/>
  </w:num>
  <w:num w:numId="9" w16cid:durableId="741490307">
    <w:abstractNumId w:val="8"/>
  </w:num>
  <w:num w:numId="10" w16cid:durableId="378288156">
    <w:abstractNumId w:val="25"/>
  </w:num>
  <w:num w:numId="11" w16cid:durableId="1664505739">
    <w:abstractNumId w:val="20"/>
  </w:num>
  <w:num w:numId="12" w16cid:durableId="367069443">
    <w:abstractNumId w:val="4"/>
  </w:num>
  <w:num w:numId="13" w16cid:durableId="95638641">
    <w:abstractNumId w:val="26"/>
  </w:num>
  <w:num w:numId="14" w16cid:durableId="278101306">
    <w:abstractNumId w:val="12"/>
  </w:num>
  <w:num w:numId="15" w16cid:durableId="387732365">
    <w:abstractNumId w:val="16"/>
  </w:num>
  <w:num w:numId="16" w16cid:durableId="1013528228">
    <w:abstractNumId w:val="9"/>
  </w:num>
  <w:num w:numId="17" w16cid:durableId="982197181">
    <w:abstractNumId w:val="0"/>
  </w:num>
  <w:num w:numId="18" w16cid:durableId="54329454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213766">
    <w:abstractNumId w:val="21"/>
  </w:num>
  <w:num w:numId="20" w16cid:durableId="157696641">
    <w:abstractNumId w:val="14"/>
  </w:num>
  <w:num w:numId="21" w16cid:durableId="1383990746">
    <w:abstractNumId w:val="10"/>
  </w:num>
  <w:num w:numId="22" w16cid:durableId="1567063374">
    <w:abstractNumId w:val="13"/>
  </w:num>
  <w:num w:numId="23" w16cid:durableId="1716544669">
    <w:abstractNumId w:val="28"/>
  </w:num>
  <w:num w:numId="24" w16cid:durableId="1925413431">
    <w:abstractNumId w:val="3"/>
  </w:num>
  <w:num w:numId="25" w16cid:durableId="2128307339">
    <w:abstractNumId w:val="23"/>
  </w:num>
  <w:num w:numId="26" w16cid:durableId="869999672">
    <w:abstractNumId w:val="22"/>
  </w:num>
  <w:num w:numId="27" w16cid:durableId="93595278">
    <w:abstractNumId w:val="19"/>
  </w:num>
  <w:num w:numId="28" w16cid:durableId="865338423">
    <w:abstractNumId w:val="18"/>
  </w:num>
  <w:num w:numId="29" w16cid:durableId="106537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1673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70"/>
    <w:rsid w:val="000022AB"/>
    <w:rsid w:val="00002412"/>
    <w:rsid w:val="00002D46"/>
    <w:rsid w:val="00006010"/>
    <w:rsid w:val="00011C0A"/>
    <w:rsid w:val="00014FDB"/>
    <w:rsid w:val="00021BAF"/>
    <w:rsid w:val="0002751E"/>
    <w:rsid w:val="0003142F"/>
    <w:rsid w:val="00032C10"/>
    <w:rsid w:val="00034AF4"/>
    <w:rsid w:val="00050BB4"/>
    <w:rsid w:val="0005532E"/>
    <w:rsid w:val="00056DFE"/>
    <w:rsid w:val="00060600"/>
    <w:rsid w:val="000659D4"/>
    <w:rsid w:val="00072B1A"/>
    <w:rsid w:val="000771AC"/>
    <w:rsid w:val="000806DC"/>
    <w:rsid w:val="00084A6F"/>
    <w:rsid w:val="00091415"/>
    <w:rsid w:val="00094527"/>
    <w:rsid w:val="000A303F"/>
    <w:rsid w:val="000B017A"/>
    <w:rsid w:val="000C0212"/>
    <w:rsid w:val="000C440D"/>
    <w:rsid w:val="000C5659"/>
    <w:rsid w:val="000D20F1"/>
    <w:rsid w:val="000E0541"/>
    <w:rsid w:val="000E0DE8"/>
    <w:rsid w:val="000E1ED2"/>
    <w:rsid w:val="000E7082"/>
    <w:rsid w:val="000F024C"/>
    <w:rsid w:val="00102928"/>
    <w:rsid w:val="001105C7"/>
    <w:rsid w:val="00116EA0"/>
    <w:rsid w:val="00120DFC"/>
    <w:rsid w:val="001260F9"/>
    <w:rsid w:val="00126989"/>
    <w:rsid w:val="001424AD"/>
    <w:rsid w:val="001462BE"/>
    <w:rsid w:val="00160D48"/>
    <w:rsid w:val="00162C90"/>
    <w:rsid w:val="001638E7"/>
    <w:rsid w:val="001655FA"/>
    <w:rsid w:val="00170F3F"/>
    <w:rsid w:val="00171E36"/>
    <w:rsid w:val="0017244F"/>
    <w:rsid w:val="001824E1"/>
    <w:rsid w:val="001837F3"/>
    <w:rsid w:val="00184006"/>
    <w:rsid w:val="001B1E35"/>
    <w:rsid w:val="001B5296"/>
    <w:rsid w:val="001C4679"/>
    <w:rsid w:val="001C46B9"/>
    <w:rsid w:val="001D04F7"/>
    <w:rsid w:val="001D0C1E"/>
    <w:rsid w:val="001D2771"/>
    <w:rsid w:val="002005E3"/>
    <w:rsid w:val="00206F74"/>
    <w:rsid w:val="002101AC"/>
    <w:rsid w:val="0021668C"/>
    <w:rsid w:val="00216F5A"/>
    <w:rsid w:val="002230FD"/>
    <w:rsid w:val="0022491A"/>
    <w:rsid w:val="0023470B"/>
    <w:rsid w:val="00241CA9"/>
    <w:rsid w:val="0024207E"/>
    <w:rsid w:val="0024388D"/>
    <w:rsid w:val="00244A98"/>
    <w:rsid w:val="00246A02"/>
    <w:rsid w:val="00251706"/>
    <w:rsid w:val="0025233F"/>
    <w:rsid w:val="00260857"/>
    <w:rsid w:val="002638C0"/>
    <w:rsid w:val="00263D76"/>
    <w:rsid w:val="002648DC"/>
    <w:rsid w:val="00270F53"/>
    <w:rsid w:val="00273626"/>
    <w:rsid w:val="00284445"/>
    <w:rsid w:val="00285AE5"/>
    <w:rsid w:val="002922C1"/>
    <w:rsid w:val="002954E5"/>
    <w:rsid w:val="00296C2C"/>
    <w:rsid w:val="002A4329"/>
    <w:rsid w:val="002A4757"/>
    <w:rsid w:val="002A4845"/>
    <w:rsid w:val="002B0395"/>
    <w:rsid w:val="002B2710"/>
    <w:rsid w:val="002B36C7"/>
    <w:rsid w:val="002B3E92"/>
    <w:rsid w:val="002C713C"/>
    <w:rsid w:val="002D419C"/>
    <w:rsid w:val="002E4640"/>
    <w:rsid w:val="002E5CAA"/>
    <w:rsid w:val="002E622E"/>
    <w:rsid w:val="002E728D"/>
    <w:rsid w:val="002F54DB"/>
    <w:rsid w:val="002F71A5"/>
    <w:rsid w:val="003003E9"/>
    <w:rsid w:val="00302EDB"/>
    <w:rsid w:val="003159CB"/>
    <w:rsid w:val="003263DD"/>
    <w:rsid w:val="00331071"/>
    <w:rsid w:val="00337820"/>
    <w:rsid w:val="003420E0"/>
    <w:rsid w:val="00351BB6"/>
    <w:rsid w:val="00361930"/>
    <w:rsid w:val="00367194"/>
    <w:rsid w:val="00375EB7"/>
    <w:rsid w:val="003769E9"/>
    <w:rsid w:val="00390D80"/>
    <w:rsid w:val="00391918"/>
    <w:rsid w:val="00395AB4"/>
    <w:rsid w:val="003964FF"/>
    <w:rsid w:val="003A09F0"/>
    <w:rsid w:val="003A128F"/>
    <w:rsid w:val="003A58E6"/>
    <w:rsid w:val="003B1B4E"/>
    <w:rsid w:val="003B3D74"/>
    <w:rsid w:val="003B4CF3"/>
    <w:rsid w:val="003B73F3"/>
    <w:rsid w:val="003C0F9F"/>
    <w:rsid w:val="003C4CCA"/>
    <w:rsid w:val="003D1541"/>
    <w:rsid w:val="003D1BD4"/>
    <w:rsid w:val="003D4672"/>
    <w:rsid w:val="003D5BE1"/>
    <w:rsid w:val="00414084"/>
    <w:rsid w:val="00414DE8"/>
    <w:rsid w:val="00415DAA"/>
    <w:rsid w:val="00427616"/>
    <w:rsid w:val="00431AAC"/>
    <w:rsid w:val="00432538"/>
    <w:rsid w:val="0043429D"/>
    <w:rsid w:val="0044070F"/>
    <w:rsid w:val="004414F6"/>
    <w:rsid w:val="00445ED7"/>
    <w:rsid w:val="00446BF0"/>
    <w:rsid w:val="00446CEA"/>
    <w:rsid w:val="004501D3"/>
    <w:rsid w:val="004506E0"/>
    <w:rsid w:val="00453FE4"/>
    <w:rsid w:val="00455632"/>
    <w:rsid w:val="00455D20"/>
    <w:rsid w:val="0046194B"/>
    <w:rsid w:val="004724F6"/>
    <w:rsid w:val="00474AD0"/>
    <w:rsid w:val="00475959"/>
    <w:rsid w:val="00477F41"/>
    <w:rsid w:val="0048391D"/>
    <w:rsid w:val="00486EBA"/>
    <w:rsid w:val="004960DF"/>
    <w:rsid w:val="0049675A"/>
    <w:rsid w:val="004A5CAF"/>
    <w:rsid w:val="004A5E9D"/>
    <w:rsid w:val="004A6E68"/>
    <w:rsid w:val="004B18B5"/>
    <w:rsid w:val="004B41CE"/>
    <w:rsid w:val="004B5AAA"/>
    <w:rsid w:val="004B713E"/>
    <w:rsid w:val="004C5547"/>
    <w:rsid w:val="004C58D6"/>
    <w:rsid w:val="004C77F2"/>
    <w:rsid w:val="004D17BF"/>
    <w:rsid w:val="004D5EE4"/>
    <w:rsid w:val="004E1094"/>
    <w:rsid w:val="004E2E6A"/>
    <w:rsid w:val="004E313D"/>
    <w:rsid w:val="004E38D7"/>
    <w:rsid w:val="004F2AB5"/>
    <w:rsid w:val="005002F6"/>
    <w:rsid w:val="00500D00"/>
    <w:rsid w:val="0050178F"/>
    <w:rsid w:val="0050613C"/>
    <w:rsid w:val="00510B40"/>
    <w:rsid w:val="00510F67"/>
    <w:rsid w:val="0051309C"/>
    <w:rsid w:val="0051470C"/>
    <w:rsid w:val="00522E1D"/>
    <w:rsid w:val="00530F1F"/>
    <w:rsid w:val="00537233"/>
    <w:rsid w:val="0053734E"/>
    <w:rsid w:val="005429A1"/>
    <w:rsid w:val="005565D3"/>
    <w:rsid w:val="00556C6A"/>
    <w:rsid w:val="00556C75"/>
    <w:rsid w:val="00560B59"/>
    <w:rsid w:val="00561287"/>
    <w:rsid w:val="00564E24"/>
    <w:rsid w:val="005711B4"/>
    <w:rsid w:val="00572EE5"/>
    <w:rsid w:val="00573600"/>
    <w:rsid w:val="0057625B"/>
    <w:rsid w:val="005853C1"/>
    <w:rsid w:val="005869E6"/>
    <w:rsid w:val="00593FA4"/>
    <w:rsid w:val="005A094F"/>
    <w:rsid w:val="005A12ED"/>
    <w:rsid w:val="005A2EE5"/>
    <w:rsid w:val="005A3746"/>
    <w:rsid w:val="005A374E"/>
    <w:rsid w:val="005A4A8A"/>
    <w:rsid w:val="005A64AD"/>
    <w:rsid w:val="005A65F2"/>
    <w:rsid w:val="005A7268"/>
    <w:rsid w:val="005B40A5"/>
    <w:rsid w:val="005C6910"/>
    <w:rsid w:val="005C797F"/>
    <w:rsid w:val="005D030C"/>
    <w:rsid w:val="005D4CD2"/>
    <w:rsid w:val="005E250F"/>
    <w:rsid w:val="005E5439"/>
    <w:rsid w:val="005F4AE7"/>
    <w:rsid w:val="00605604"/>
    <w:rsid w:val="006076AB"/>
    <w:rsid w:val="006117AF"/>
    <w:rsid w:val="006123F2"/>
    <w:rsid w:val="006174A4"/>
    <w:rsid w:val="00620EB1"/>
    <w:rsid w:val="00633E7C"/>
    <w:rsid w:val="00635611"/>
    <w:rsid w:val="00640718"/>
    <w:rsid w:val="00640AC5"/>
    <w:rsid w:val="00641D88"/>
    <w:rsid w:val="00642380"/>
    <w:rsid w:val="006449F2"/>
    <w:rsid w:val="006500A6"/>
    <w:rsid w:val="0065532D"/>
    <w:rsid w:val="006621B3"/>
    <w:rsid w:val="00662A43"/>
    <w:rsid w:val="006C2A9B"/>
    <w:rsid w:val="006C3BC8"/>
    <w:rsid w:val="006C48FE"/>
    <w:rsid w:val="006C7B9F"/>
    <w:rsid w:val="006D13A7"/>
    <w:rsid w:val="006D7C3C"/>
    <w:rsid w:val="006E28EE"/>
    <w:rsid w:val="006F7469"/>
    <w:rsid w:val="006F7A3B"/>
    <w:rsid w:val="00704C4C"/>
    <w:rsid w:val="007054D5"/>
    <w:rsid w:val="00713736"/>
    <w:rsid w:val="00722AFD"/>
    <w:rsid w:val="00723813"/>
    <w:rsid w:val="0073058F"/>
    <w:rsid w:val="00735520"/>
    <w:rsid w:val="007373FF"/>
    <w:rsid w:val="00737968"/>
    <w:rsid w:val="007402E2"/>
    <w:rsid w:val="00746271"/>
    <w:rsid w:val="00755046"/>
    <w:rsid w:val="00757F53"/>
    <w:rsid w:val="00767BA8"/>
    <w:rsid w:val="0077078A"/>
    <w:rsid w:val="00772A40"/>
    <w:rsid w:val="007730CA"/>
    <w:rsid w:val="0078312C"/>
    <w:rsid w:val="00783EE4"/>
    <w:rsid w:val="007A4416"/>
    <w:rsid w:val="007B4D56"/>
    <w:rsid w:val="007B686D"/>
    <w:rsid w:val="007C151A"/>
    <w:rsid w:val="007C3BD5"/>
    <w:rsid w:val="007D2663"/>
    <w:rsid w:val="007E0722"/>
    <w:rsid w:val="007F0DD2"/>
    <w:rsid w:val="007F1CE4"/>
    <w:rsid w:val="007F2ABB"/>
    <w:rsid w:val="007F7FCE"/>
    <w:rsid w:val="00801EB5"/>
    <w:rsid w:val="00804E8E"/>
    <w:rsid w:val="00807CF9"/>
    <w:rsid w:val="008152E5"/>
    <w:rsid w:val="00815B57"/>
    <w:rsid w:val="0084624B"/>
    <w:rsid w:val="0085779B"/>
    <w:rsid w:val="0086564D"/>
    <w:rsid w:val="008847FB"/>
    <w:rsid w:val="00887D22"/>
    <w:rsid w:val="00890C1A"/>
    <w:rsid w:val="008973AC"/>
    <w:rsid w:val="008A1594"/>
    <w:rsid w:val="008A1CA9"/>
    <w:rsid w:val="008A36D9"/>
    <w:rsid w:val="008A4F25"/>
    <w:rsid w:val="008A73B3"/>
    <w:rsid w:val="008B0014"/>
    <w:rsid w:val="008B500F"/>
    <w:rsid w:val="008B69A3"/>
    <w:rsid w:val="008B7D6C"/>
    <w:rsid w:val="008C066E"/>
    <w:rsid w:val="008C2115"/>
    <w:rsid w:val="008C4E57"/>
    <w:rsid w:val="008C7B27"/>
    <w:rsid w:val="008D186D"/>
    <w:rsid w:val="008D19B4"/>
    <w:rsid w:val="008D1E8E"/>
    <w:rsid w:val="008D5F66"/>
    <w:rsid w:val="008E1DB3"/>
    <w:rsid w:val="008E23D1"/>
    <w:rsid w:val="008E5731"/>
    <w:rsid w:val="008E6642"/>
    <w:rsid w:val="008F006B"/>
    <w:rsid w:val="008F0DB6"/>
    <w:rsid w:val="008F2DA4"/>
    <w:rsid w:val="008F3397"/>
    <w:rsid w:val="008F7051"/>
    <w:rsid w:val="0090063E"/>
    <w:rsid w:val="00902991"/>
    <w:rsid w:val="00914FA4"/>
    <w:rsid w:val="00917997"/>
    <w:rsid w:val="00920736"/>
    <w:rsid w:val="0092148B"/>
    <w:rsid w:val="009251CB"/>
    <w:rsid w:val="009306D6"/>
    <w:rsid w:val="009353FA"/>
    <w:rsid w:val="009369C5"/>
    <w:rsid w:val="00941A7F"/>
    <w:rsid w:val="00952D35"/>
    <w:rsid w:val="0095359D"/>
    <w:rsid w:val="00954C6A"/>
    <w:rsid w:val="0095773B"/>
    <w:rsid w:val="00957D78"/>
    <w:rsid w:val="00961A0B"/>
    <w:rsid w:val="00963EDD"/>
    <w:rsid w:val="009677AD"/>
    <w:rsid w:val="00974F8F"/>
    <w:rsid w:val="0098674B"/>
    <w:rsid w:val="00996E61"/>
    <w:rsid w:val="0099789F"/>
    <w:rsid w:val="009B0F3F"/>
    <w:rsid w:val="009B3A6D"/>
    <w:rsid w:val="009B3DB4"/>
    <w:rsid w:val="009B43FA"/>
    <w:rsid w:val="009C0CD6"/>
    <w:rsid w:val="009C4C1F"/>
    <w:rsid w:val="009C4FFD"/>
    <w:rsid w:val="009C7890"/>
    <w:rsid w:val="009C7F3C"/>
    <w:rsid w:val="009C7F64"/>
    <w:rsid w:val="009D087E"/>
    <w:rsid w:val="009D50BC"/>
    <w:rsid w:val="009D7744"/>
    <w:rsid w:val="009E0402"/>
    <w:rsid w:val="009F5B31"/>
    <w:rsid w:val="00A0543B"/>
    <w:rsid w:val="00A0743C"/>
    <w:rsid w:val="00A16EF6"/>
    <w:rsid w:val="00A177D8"/>
    <w:rsid w:val="00A1784F"/>
    <w:rsid w:val="00A240D6"/>
    <w:rsid w:val="00A254AA"/>
    <w:rsid w:val="00A3141F"/>
    <w:rsid w:val="00A343E5"/>
    <w:rsid w:val="00A40B6D"/>
    <w:rsid w:val="00A44560"/>
    <w:rsid w:val="00A559B8"/>
    <w:rsid w:val="00A57DE9"/>
    <w:rsid w:val="00A60C3D"/>
    <w:rsid w:val="00A63948"/>
    <w:rsid w:val="00A63B62"/>
    <w:rsid w:val="00A70152"/>
    <w:rsid w:val="00A7711B"/>
    <w:rsid w:val="00A94D1C"/>
    <w:rsid w:val="00AA0638"/>
    <w:rsid w:val="00AA1CBD"/>
    <w:rsid w:val="00AA5B70"/>
    <w:rsid w:val="00AA6183"/>
    <w:rsid w:val="00AB73DD"/>
    <w:rsid w:val="00AC7E4D"/>
    <w:rsid w:val="00AD2D4E"/>
    <w:rsid w:val="00AD5C75"/>
    <w:rsid w:val="00AD756F"/>
    <w:rsid w:val="00AD77BB"/>
    <w:rsid w:val="00AE644F"/>
    <w:rsid w:val="00B055EB"/>
    <w:rsid w:val="00B07CBA"/>
    <w:rsid w:val="00B1027A"/>
    <w:rsid w:val="00B30483"/>
    <w:rsid w:val="00B32491"/>
    <w:rsid w:val="00B32DA1"/>
    <w:rsid w:val="00B41DF6"/>
    <w:rsid w:val="00B43B2E"/>
    <w:rsid w:val="00B451F1"/>
    <w:rsid w:val="00B5066B"/>
    <w:rsid w:val="00B543F0"/>
    <w:rsid w:val="00B574D3"/>
    <w:rsid w:val="00B57F94"/>
    <w:rsid w:val="00B7052E"/>
    <w:rsid w:val="00B70583"/>
    <w:rsid w:val="00B72BCD"/>
    <w:rsid w:val="00B8028C"/>
    <w:rsid w:val="00B8416B"/>
    <w:rsid w:val="00BA0CDE"/>
    <w:rsid w:val="00BA2923"/>
    <w:rsid w:val="00BA394B"/>
    <w:rsid w:val="00BA7F99"/>
    <w:rsid w:val="00BB03C7"/>
    <w:rsid w:val="00BB0838"/>
    <w:rsid w:val="00BB7310"/>
    <w:rsid w:val="00BC2EEA"/>
    <w:rsid w:val="00BD0388"/>
    <w:rsid w:val="00BD3D27"/>
    <w:rsid w:val="00BD7E5E"/>
    <w:rsid w:val="00BF616F"/>
    <w:rsid w:val="00C01279"/>
    <w:rsid w:val="00C04144"/>
    <w:rsid w:val="00C071F7"/>
    <w:rsid w:val="00C1413C"/>
    <w:rsid w:val="00C150DA"/>
    <w:rsid w:val="00C15687"/>
    <w:rsid w:val="00C22EB9"/>
    <w:rsid w:val="00C23FF9"/>
    <w:rsid w:val="00C24FA3"/>
    <w:rsid w:val="00C262A2"/>
    <w:rsid w:val="00C32F0A"/>
    <w:rsid w:val="00C340BF"/>
    <w:rsid w:val="00C370A0"/>
    <w:rsid w:val="00C51B91"/>
    <w:rsid w:val="00C52C41"/>
    <w:rsid w:val="00C536D8"/>
    <w:rsid w:val="00C66999"/>
    <w:rsid w:val="00C70567"/>
    <w:rsid w:val="00C76813"/>
    <w:rsid w:val="00C76FB0"/>
    <w:rsid w:val="00C81422"/>
    <w:rsid w:val="00C8396F"/>
    <w:rsid w:val="00C91E1C"/>
    <w:rsid w:val="00C95C5B"/>
    <w:rsid w:val="00C96686"/>
    <w:rsid w:val="00CA00AD"/>
    <w:rsid w:val="00CA13BB"/>
    <w:rsid w:val="00CA4C6A"/>
    <w:rsid w:val="00CB40E6"/>
    <w:rsid w:val="00CB61BC"/>
    <w:rsid w:val="00CC0081"/>
    <w:rsid w:val="00CC4F43"/>
    <w:rsid w:val="00CC617B"/>
    <w:rsid w:val="00CC6618"/>
    <w:rsid w:val="00CC73BF"/>
    <w:rsid w:val="00CD14B8"/>
    <w:rsid w:val="00CE0D5D"/>
    <w:rsid w:val="00CF7D61"/>
    <w:rsid w:val="00D11E3C"/>
    <w:rsid w:val="00D12CE7"/>
    <w:rsid w:val="00D14EC7"/>
    <w:rsid w:val="00D2359B"/>
    <w:rsid w:val="00D245A7"/>
    <w:rsid w:val="00D2543A"/>
    <w:rsid w:val="00D2673B"/>
    <w:rsid w:val="00D41E16"/>
    <w:rsid w:val="00D465A4"/>
    <w:rsid w:val="00D47210"/>
    <w:rsid w:val="00D51451"/>
    <w:rsid w:val="00D623C0"/>
    <w:rsid w:val="00D70CA0"/>
    <w:rsid w:val="00D71855"/>
    <w:rsid w:val="00D727F7"/>
    <w:rsid w:val="00D72958"/>
    <w:rsid w:val="00D73541"/>
    <w:rsid w:val="00D82FFA"/>
    <w:rsid w:val="00D84A69"/>
    <w:rsid w:val="00D91CD9"/>
    <w:rsid w:val="00D92492"/>
    <w:rsid w:val="00D92E81"/>
    <w:rsid w:val="00D96F94"/>
    <w:rsid w:val="00DB1826"/>
    <w:rsid w:val="00DB2F83"/>
    <w:rsid w:val="00DB65DD"/>
    <w:rsid w:val="00DC0AFA"/>
    <w:rsid w:val="00DC14BA"/>
    <w:rsid w:val="00DE3E72"/>
    <w:rsid w:val="00DE7B3A"/>
    <w:rsid w:val="00E02CEC"/>
    <w:rsid w:val="00E10B02"/>
    <w:rsid w:val="00E10B7F"/>
    <w:rsid w:val="00E21654"/>
    <w:rsid w:val="00E45D88"/>
    <w:rsid w:val="00E71573"/>
    <w:rsid w:val="00E829AA"/>
    <w:rsid w:val="00E84F9B"/>
    <w:rsid w:val="00EB1AFE"/>
    <w:rsid w:val="00EB7C53"/>
    <w:rsid w:val="00EC35C8"/>
    <w:rsid w:val="00EC726A"/>
    <w:rsid w:val="00ED4CAD"/>
    <w:rsid w:val="00ED5247"/>
    <w:rsid w:val="00EE2B77"/>
    <w:rsid w:val="00EE4946"/>
    <w:rsid w:val="00EE5016"/>
    <w:rsid w:val="00EF083C"/>
    <w:rsid w:val="00EF316B"/>
    <w:rsid w:val="00EF338F"/>
    <w:rsid w:val="00EF370C"/>
    <w:rsid w:val="00F003FF"/>
    <w:rsid w:val="00F00577"/>
    <w:rsid w:val="00F00C76"/>
    <w:rsid w:val="00F0691C"/>
    <w:rsid w:val="00F06A75"/>
    <w:rsid w:val="00F06FEA"/>
    <w:rsid w:val="00F16DC8"/>
    <w:rsid w:val="00F1765F"/>
    <w:rsid w:val="00F214EC"/>
    <w:rsid w:val="00F24417"/>
    <w:rsid w:val="00F31980"/>
    <w:rsid w:val="00F37FD7"/>
    <w:rsid w:val="00F57264"/>
    <w:rsid w:val="00F630DE"/>
    <w:rsid w:val="00F65936"/>
    <w:rsid w:val="00F70940"/>
    <w:rsid w:val="00F819E2"/>
    <w:rsid w:val="00F8238C"/>
    <w:rsid w:val="00F87336"/>
    <w:rsid w:val="00F8789F"/>
    <w:rsid w:val="00F94CC9"/>
    <w:rsid w:val="00F97862"/>
    <w:rsid w:val="00FA1B03"/>
    <w:rsid w:val="00FA65BB"/>
    <w:rsid w:val="00FB2740"/>
    <w:rsid w:val="00FB3628"/>
    <w:rsid w:val="00FB3FCE"/>
    <w:rsid w:val="00FC0BAD"/>
    <w:rsid w:val="00FC3D7A"/>
    <w:rsid w:val="00FC7024"/>
    <w:rsid w:val="00FE0873"/>
    <w:rsid w:val="00FE31AF"/>
    <w:rsid w:val="00FF26E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chartTrackingRefBased/>
  <w15:docId w15:val="{AEBC5BA9-E61B-44D9-B2EA-ECF13ECD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 w:type="character" w:customStyle="1" w:styleId="dec-value-display">
    <w:name w:val="dec-value-display"/>
    <w:basedOn w:val="DefaultParagraphFont"/>
    <w:rsid w:val="00EB7C53"/>
  </w:style>
  <w:style w:type="paragraph" w:styleId="NoSpacing">
    <w:name w:val="No Spacing"/>
    <w:uiPriority w:val="1"/>
    <w:qFormat/>
    <w:rsid w:val="000F024C"/>
    <w:pPr>
      <w:spacing w:after="0" w:line="240" w:lineRule="auto"/>
    </w:pPr>
  </w:style>
  <w:style w:type="numbering" w:customStyle="1" w:styleId="Style1">
    <w:name w:val="Style1"/>
    <w:uiPriority w:val="99"/>
    <w:rsid w:val="00050BB4"/>
    <w:pPr>
      <w:numPr>
        <w:numId w:val="20"/>
      </w:numPr>
    </w:pPr>
  </w:style>
  <w:style w:type="paragraph" w:customStyle="1" w:styleId="xxmsolistparagraph">
    <w:name w:val="x_x_msolistparagraph"/>
    <w:basedOn w:val="Normal"/>
    <w:rsid w:val="0051470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746">
      <w:bodyDiv w:val="1"/>
      <w:marLeft w:val="0"/>
      <w:marRight w:val="0"/>
      <w:marTop w:val="0"/>
      <w:marBottom w:val="0"/>
      <w:divBdr>
        <w:top w:val="none" w:sz="0" w:space="0" w:color="auto"/>
        <w:left w:val="none" w:sz="0" w:space="0" w:color="auto"/>
        <w:bottom w:val="none" w:sz="0" w:space="0" w:color="auto"/>
        <w:right w:val="none" w:sz="0" w:space="0" w:color="auto"/>
      </w:divBdr>
    </w:div>
    <w:div w:id="217936936">
      <w:bodyDiv w:val="1"/>
      <w:marLeft w:val="0"/>
      <w:marRight w:val="0"/>
      <w:marTop w:val="0"/>
      <w:marBottom w:val="0"/>
      <w:divBdr>
        <w:top w:val="none" w:sz="0" w:space="0" w:color="auto"/>
        <w:left w:val="none" w:sz="0" w:space="0" w:color="auto"/>
        <w:bottom w:val="none" w:sz="0" w:space="0" w:color="auto"/>
        <w:right w:val="none" w:sz="0" w:space="0" w:color="auto"/>
      </w:divBdr>
    </w:div>
    <w:div w:id="296839292">
      <w:bodyDiv w:val="1"/>
      <w:marLeft w:val="0"/>
      <w:marRight w:val="0"/>
      <w:marTop w:val="0"/>
      <w:marBottom w:val="0"/>
      <w:divBdr>
        <w:top w:val="none" w:sz="0" w:space="0" w:color="auto"/>
        <w:left w:val="none" w:sz="0" w:space="0" w:color="auto"/>
        <w:bottom w:val="none" w:sz="0" w:space="0" w:color="auto"/>
        <w:right w:val="none" w:sz="0" w:space="0" w:color="auto"/>
      </w:divBdr>
    </w:div>
    <w:div w:id="304315421">
      <w:bodyDiv w:val="1"/>
      <w:marLeft w:val="0"/>
      <w:marRight w:val="0"/>
      <w:marTop w:val="0"/>
      <w:marBottom w:val="0"/>
      <w:divBdr>
        <w:top w:val="none" w:sz="0" w:space="0" w:color="auto"/>
        <w:left w:val="none" w:sz="0" w:space="0" w:color="auto"/>
        <w:bottom w:val="none" w:sz="0" w:space="0" w:color="auto"/>
        <w:right w:val="none" w:sz="0" w:space="0" w:color="auto"/>
      </w:divBdr>
    </w:div>
    <w:div w:id="362294924">
      <w:bodyDiv w:val="1"/>
      <w:marLeft w:val="0"/>
      <w:marRight w:val="0"/>
      <w:marTop w:val="0"/>
      <w:marBottom w:val="0"/>
      <w:divBdr>
        <w:top w:val="none" w:sz="0" w:space="0" w:color="auto"/>
        <w:left w:val="none" w:sz="0" w:space="0" w:color="auto"/>
        <w:bottom w:val="none" w:sz="0" w:space="0" w:color="auto"/>
        <w:right w:val="none" w:sz="0" w:space="0" w:color="auto"/>
      </w:divBdr>
    </w:div>
    <w:div w:id="390231162">
      <w:bodyDiv w:val="1"/>
      <w:marLeft w:val="0"/>
      <w:marRight w:val="0"/>
      <w:marTop w:val="0"/>
      <w:marBottom w:val="0"/>
      <w:divBdr>
        <w:top w:val="none" w:sz="0" w:space="0" w:color="auto"/>
        <w:left w:val="none" w:sz="0" w:space="0" w:color="auto"/>
        <w:bottom w:val="none" w:sz="0" w:space="0" w:color="auto"/>
        <w:right w:val="none" w:sz="0" w:space="0" w:color="auto"/>
      </w:divBdr>
    </w:div>
    <w:div w:id="417210472">
      <w:bodyDiv w:val="1"/>
      <w:marLeft w:val="0"/>
      <w:marRight w:val="0"/>
      <w:marTop w:val="0"/>
      <w:marBottom w:val="0"/>
      <w:divBdr>
        <w:top w:val="none" w:sz="0" w:space="0" w:color="auto"/>
        <w:left w:val="none" w:sz="0" w:space="0" w:color="auto"/>
        <w:bottom w:val="none" w:sz="0" w:space="0" w:color="auto"/>
        <w:right w:val="none" w:sz="0" w:space="0" w:color="auto"/>
      </w:divBdr>
    </w:div>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604461900">
      <w:bodyDiv w:val="1"/>
      <w:marLeft w:val="0"/>
      <w:marRight w:val="0"/>
      <w:marTop w:val="0"/>
      <w:marBottom w:val="0"/>
      <w:divBdr>
        <w:top w:val="none" w:sz="0" w:space="0" w:color="auto"/>
        <w:left w:val="none" w:sz="0" w:space="0" w:color="auto"/>
        <w:bottom w:val="none" w:sz="0" w:space="0" w:color="auto"/>
        <w:right w:val="none" w:sz="0" w:space="0" w:color="auto"/>
      </w:divBdr>
    </w:div>
    <w:div w:id="672031053">
      <w:bodyDiv w:val="1"/>
      <w:marLeft w:val="0"/>
      <w:marRight w:val="0"/>
      <w:marTop w:val="0"/>
      <w:marBottom w:val="0"/>
      <w:divBdr>
        <w:top w:val="none" w:sz="0" w:space="0" w:color="auto"/>
        <w:left w:val="none" w:sz="0" w:space="0" w:color="auto"/>
        <w:bottom w:val="none" w:sz="0" w:space="0" w:color="auto"/>
        <w:right w:val="none" w:sz="0" w:space="0" w:color="auto"/>
      </w:divBdr>
    </w:div>
    <w:div w:id="705445996">
      <w:bodyDiv w:val="1"/>
      <w:marLeft w:val="0"/>
      <w:marRight w:val="0"/>
      <w:marTop w:val="0"/>
      <w:marBottom w:val="0"/>
      <w:divBdr>
        <w:top w:val="none" w:sz="0" w:space="0" w:color="auto"/>
        <w:left w:val="none" w:sz="0" w:space="0" w:color="auto"/>
        <w:bottom w:val="none" w:sz="0" w:space="0" w:color="auto"/>
        <w:right w:val="none" w:sz="0" w:space="0" w:color="auto"/>
      </w:divBdr>
    </w:div>
    <w:div w:id="753866052">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 w:id="1130780902">
      <w:bodyDiv w:val="1"/>
      <w:marLeft w:val="0"/>
      <w:marRight w:val="0"/>
      <w:marTop w:val="0"/>
      <w:marBottom w:val="0"/>
      <w:divBdr>
        <w:top w:val="none" w:sz="0" w:space="0" w:color="auto"/>
        <w:left w:val="none" w:sz="0" w:space="0" w:color="auto"/>
        <w:bottom w:val="none" w:sz="0" w:space="0" w:color="auto"/>
        <w:right w:val="none" w:sz="0" w:space="0" w:color="auto"/>
      </w:divBdr>
    </w:div>
    <w:div w:id="1180310831">
      <w:bodyDiv w:val="1"/>
      <w:marLeft w:val="0"/>
      <w:marRight w:val="0"/>
      <w:marTop w:val="0"/>
      <w:marBottom w:val="0"/>
      <w:divBdr>
        <w:top w:val="none" w:sz="0" w:space="0" w:color="auto"/>
        <w:left w:val="none" w:sz="0" w:space="0" w:color="auto"/>
        <w:bottom w:val="none" w:sz="0" w:space="0" w:color="auto"/>
        <w:right w:val="none" w:sz="0" w:space="0" w:color="auto"/>
      </w:divBdr>
    </w:div>
    <w:div w:id="1213469764">
      <w:bodyDiv w:val="1"/>
      <w:marLeft w:val="0"/>
      <w:marRight w:val="0"/>
      <w:marTop w:val="0"/>
      <w:marBottom w:val="0"/>
      <w:divBdr>
        <w:top w:val="none" w:sz="0" w:space="0" w:color="auto"/>
        <w:left w:val="none" w:sz="0" w:space="0" w:color="auto"/>
        <w:bottom w:val="none" w:sz="0" w:space="0" w:color="auto"/>
        <w:right w:val="none" w:sz="0" w:space="0" w:color="auto"/>
      </w:divBdr>
    </w:div>
    <w:div w:id="1224869645">
      <w:bodyDiv w:val="1"/>
      <w:marLeft w:val="0"/>
      <w:marRight w:val="0"/>
      <w:marTop w:val="0"/>
      <w:marBottom w:val="0"/>
      <w:divBdr>
        <w:top w:val="none" w:sz="0" w:space="0" w:color="auto"/>
        <w:left w:val="none" w:sz="0" w:space="0" w:color="auto"/>
        <w:bottom w:val="none" w:sz="0" w:space="0" w:color="auto"/>
        <w:right w:val="none" w:sz="0" w:space="0" w:color="auto"/>
      </w:divBdr>
    </w:div>
    <w:div w:id="1341733384">
      <w:bodyDiv w:val="1"/>
      <w:marLeft w:val="0"/>
      <w:marRight w:val="0"/>
      <w:marTop w:val="0"/>
      <w:marBottom w:val="0"/>
      <w:divBdr>
        <w:top w:val="none" w:sz="0" w:space="0" w:color="auto"/>
        <w:left w:val="none" w:sz="0" w:space="0" w:color="auto"/>
        <w:bottom w:val="none" w:sz="0" w:space="0" w:color="auto"/>
        <w:right w:val="none" w:sz="0" w:space="0" w:color="auto"/>
      </w:divBdr>
    </w:div>
    <w:div w:id="1414740635">
      <w:bodyDiv w:val="1"/>
      <w:marLeft w:val="0"/>
      <w:marRight w:val="0"/>
      <w:marTop w:val="0"/>
      <w:marBottom w:val="0"/>
      <w:divBdr>
        <w:top w:val="none" w:sz="0" w:space="0" w:color="auto"/>
        <w:left w:val="none" w:sz="0" w:space="0" w:color="auto"/>
        <w:bottom w:val="none" w:sz="0" w:space="0" w:color="auto"/>
        <w:right w:val="none" w:sz="0" w:space="0" w:color="auto"/>
      </w:divBdr>
    </w:div>
    <w:div w:id="1437939410">
      <w:bodyDiv w:val="1"/>
      <w:marLeft w:val="0"/>
      <w:marRight w:val="0"/>
      <w:marTop w:val="0"/>
      <w:marBottom w:val="0"/>
      <w:divBdr>
        <w:top w:val="none" w:sz="0" w:space="0" w:color="auto"/>
        <w:left w:val="none" w:sz="0" w:space="0" w:color="auto"/>
        <w:bottom w:val="none" w:sz="0" w:space="0" w:color="auto"/>
        <w:right w:val="none" w:sz="0" w:space="0" w:color="auto"/>
      </w:divBdr>
    </w:div>
    <w:div w:id="1530099283">
      <w:bodyDiv w:val="1"/>
      <w:marLeft w:val="0"/>
      <w:marRight w:val="0"/>
      <w:marTop w:val="0"/>
      <w:marBottom w:val="0"/>
      <w:divBdr>
        <w:top w:val="none" w:sz="0" w:space="0" w:color="auto"/>
        <w:left w:val="none" w:sz="0" w:space="0" w:color="auto"/>
        <w:bottom w:val="none" w:sz="0" w:space="0" w:color="auto"/>
        <w:right w:val="none" w:sz="0" w:space="0" w:color="auto"/>
      </w:divBdr>
    </w:div>
    <w:div w:id="1673028579">
      <w:bodyDiv w:val="1"/>
      <w:marLeft w:val="0"/>
      <w:marRight w:val="0"/>
      <w:marTop w:val="0"/>
      <w:marBottom w:val="0"/>
      <w:divBdr>
        <w:top w:val="none" w:sz="0" w:space="0" w:color="auto"/>
        <w:left w:val="none" w:sz="0" w:space="0" w:color="auto"/>
        <w:bottom w:val="none" w:sz="0" w:space="0" w:color="auto"/>
        <w:right w:val="none" w:sz="0" w:space="0" w:color="auto"/>
      </w:divBdr>
    </w:div>
    <w:div w:id="1819572465">
      <w:bodyDiv w:val="1"/>
      <w:marLeft w:val="0"/>
      <w:marRight w:val="0"/>
      <w:marTop w:val="0"/>
      <w:marBottom w:val="0"/>
      <w:divBdr>
        <w:top w:val="none" w:sz="0" w:space="0" w:color="auto"/>
        <w:left w:val="none" w:sz="0" w:space="0" w:color="auto"/>
        <w:bottom w:val="none" w:sz="0" w:space="0" w:color="auto"/>
        <w:right w:val="none" w:sz="0" w:space="0" w:color="auto"/>
      </w:divBdr>
    </w:div>
    <w:div w:id="1902058085">
      <w:bodyDiv w:val="1"/>
      <w:marLeft w:val="0"/>
      <w:marRight w:val="0"/>
      <w:marTop w:val="0"/>
      <w:marBottom w:val="0"/>
      <w:divBdr>
        <w:top w:val="none" w:sz="0" w:space="0" w:color="auto"/>
        <w:left w:val="none" w:sz="0" w:space="0" w:color="auto"/>
        <w:bottom w:val="none" w:sz="0" w:space="0" w:color="auto"/>
        <w:right w:val="none" w:sz="0" w:space="0" w:color="auto"/>
      </w:divBdr>
    </w:div>
    <w:div w:id="1920870592">
      <w:bodyDiv w:val="1"/>
      <w:marLeft w:val="0"/>
      <w:marRight w:val="0"/>
      <w:marTop w:val="0"/>
      <w:marBottom w:val="0"/>
      <w:divBdr>
        <w:top w:val="none" w:sz="0" w:space="0" w:color="auto"/>
        <w:left w:val="none" w:sz="0" w:space="0" w:color="auto"/>
        <w:bottom w:val="none" w:sz="0" w:space="0" w:color="auto"/>
        <w:right w:val="none" w:sz="0" w:space="0" w:color="auto"/>
      </w:divBdr>
    </w:div>
    <w:div w:id="21185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osu.edu/courses/index.asp" TargetMode="External"/><Relationship Id="rId5" Type="http://schemas.openxmlformats.org/officeDocument/2006/relationships/numbering" Target="numbering.xml"/><Relationship Id="rId10" Type="http://schemas.openxmlformats.org/officeDocument/2006/relationships/hyperlink" Target="https://registrar.osu.edu/apps/circform/circform.asp" TargetMode="External"/><Relationship Id="rId4" Type="http://schemas.openxmlformats.org/officeDocument/2006/relationships/customXml" Target="../customXml/item4.xml"/><Relationship Id="rId9" Type="http://schemas.openxmlformats.org/officeDocument/2006/relationships/hyperlink" Target="https://oaa.osu.edu/2021-22-caa-meetings-and-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customXml/itemProps3.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14F83-1DC7-4CB7-B502-2D1CE8891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3</cp:revision>
  <dcterms:created xsi:type="dcterms:W3CDTF">2022-10-03T14:08:00Z</dcterms:created>
  <dcterms:modified xsi:type="dcterms:W3CDTF">2022-10-03T14:08:00Z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